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000ff"/>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000ff"/>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000ff"/>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000ff"/>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No test was performed to ensure adequate power. For organoid experiments, the sample size was chosen based on availability of organoid and donor material. Sample size for cell line experiments was chosen based on literature.</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Each figure legend specifies how many technical replicates were performed (i.e. experiment was performed in triplicate) and how many biological replicates were performed ( i.e. representative of at least two independent experiments).</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each figure legend, statistical analysis methods can be found, the description of p-values and the error in the data. In addition under the heading “Statistical analysis”, the description of all statistical tests used can be found.</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9">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applicable as this is not a clinical trial nor does the study include </w:t>
      </w:r>
      <w:r w:rsidDel="00000000" w:rsidR="00000000" w:rsidRPr="00000000">
        <w:rPr>
          <w:rFonts w:ascii="Calibri" w:cs="Calibri" w:eastAsia="Calibri" w:hAnsi="Calibri"/>
          <w:i w:val="1"/>
          <w:sz w:val="22"/>
          <w:szCs w:val="22"/>
          <w:rtl w:val="0"/>
        </w:rPr>
        <w:t xml:space="preserve">in vivo </w:t>
      </w:r>
      <w:r w:rsidDel="00000000" w:rsidR="00000000" w:rsidRPr="00000000">
        <w:rPr>
          <w:rFonts w:ascii="Calibri" w:cs="Calibri" w:eastAsia="Calibri" w:hAnsi="Calibri"/>
          <w:sz w:val="22"/>
          <w:szCs w:val="22"/>
          <w:rtl w:val="0"/>
        </w:rPr>
        <w:t xml:space="preserve">experiments.</w:t>
      </w:r>
    </w:p>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5">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sectPr>
      <w:headerReference r:id="rId11" w:type="default"/>
      <w:footerReference r:id="rId12" w:type="default"/>
      <w:footerReference r:id="rId13" w:type="even"/>
      <w:pgSz w:h="16840" w:w="11900" w:orient="portrait"/>
      <w:pgMar w:bottom="993" w:top="1440" w:left="1843" w:right="17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16"/>
        <w:szCs w:val="16"/>
      </w:rPr>
    </w:pPr>
    <w:r w:rsidDel="00000000" w:rsidR="00000000" w:rsidRPr="00000000">
      <w:rPr>
        <w:rFonts w:ascii="Arial" w:cs="Arial" w:eastAsia="Arial" w:hAnsi="Arial"/>
        <w:sz w:val="16"/>
        <w:szCs w:val="16"/>
        <w:rtl w:val="0"/>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w:t>
    </w:r>
    <w:r w:rsidDel="00000000" w:rsidR="00000000" w:rsidRPr="00000000">
      <w:rPr>
        <w:rFonts w:ascii="Arial" w:cs="Arial" w:eastAsia="Arial" w:hAnsi="Arial"/>
        <w:color w:val="212121"/>
        <w:sz w:val="16"/>
        <w:szCs w:val="16"/>
        <w:highlight w:val="white"/>
        <w:rtl w:val="0"/>
      </w:rPr>
      <w:t xml:space="preserve">Westbrook Centre, Milton Road</w:t>
    </w:r>
    <w:r w:rsidDel="00000000" w:rsidR="00000000" w:rsidRPr="00000000">
      <w:rPr>
        <w:rFonts w:ascii="Arial" w:cs="Arial" w:eastAsia="Arial" w:hAnsi="Arial"/>
        <w:color w:val="212121"/>
        <w:sz w:val="16"/>
        <w:szCs w:val="16"/>
        <w:rtl w:val="0"/>
      </w:rPr>
      <w:t xml:space="preserve"> </w:t>
    </w:r>
    <w:r w:rsidDel="00000000" w:rsidR="00000000" w:rsidRPr="00000000">
      <w:rPr>
        <w:rFonts w:ascii="Arial" w:cs="Arial" w:eastAsia="Arial" w:hAnsi="Arial"/>
        <w:color w:val="212121"/>
        <w:sz w:val="16"/>
        <w:szCs w:val="16"/>
        <w:highlight w:val="white"/>
        <w:rtl w:val="0"/>
      </w:rPr>
      <w:t xml:space="preserve">Cambridge CB4 1YG</w:t>
    </w:r>
    <w:r w:rsidDel="00000000" w:rsidR="00000000" w:rsidRPr="00000000">
      <w:rPr>
        <w:rFonts w:ascii="Arial" w:cs="Arial" w:eastAsia="Arial" w:hAnsi="Arial"/>
        <w:color w:val="212121"/>
        <w:sz w:val="16"/>
        <w:szCs w:val="16"/>
        <w:rtl w:val="0"/>
      </w:rPr>
      <w:t xml:space="preserve">, </w:t>
    </w:r>
    <w:r w:rsidDel="00000000" w:rsidR="00000000" w:rsidRPr="00000000">
      <w:rPr>
        <w:rFonts w:ascii="Arial" w:cs="Arial" w:eastAsia="Arial" w:hAnsi="Arial"/>
        <w:color w:val="212121"/>
        <w:sz w:val="16"/>
        <w:szCs w:val="16"/>
        <w:highlight w:val="white"/>
        <w:rtl w:val="0"/>
      </w:rPr>
      <w:t xml:space="preserve">UK</w:t>
    </w:r>
    <w:r w:rsidDel="00000000" w:rsidR="00000000" w:rsidRPr="00000000">
      <w:rPr>
        <w:rFonts w:ascii="Arial" w:cs="Arial" w:eastAsia="Arial" w:hAnsi="Arial"/>
        <w:sz w:val="16"/>
        <w:szCs w:val="16"/>
        <w:rtl w:val="0"/>
      </w:rPr>
      <w:t xml:space="preserve"> | March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3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4325620" cy="791116"/>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25620" cy="7911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D0F2C"/>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rsid w:val="004215F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locked w:val="1"/>
    <w:rsid w:val="004215FE"/>
    <w:rPr>
      <w:rFonts w:ascii="Lucida Grande" w:cs="Lucida Grande" w:hAnsi="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styleId="HeaderChar" w:customStyle="1">
    <w:name w:val="Header Char"/>
    <w:basedOn w:val="DefaultParagraphFont"/>
    <w:link w:val="Header"/>
    <w:uiPriority w:val="99"/>
    <w:locked w:val="1"/>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styleId="FooterChar" w:customStyle="1">
    <w:name w:val="Footer Char"/>
    <w:basedOn w:val="DefaultParagraphFont"/>
    <w:link w:val="Footer"/>
    <w:uiPriority w:val="99"/>
    <w:locked w:val="1"/>
    <w:rsid w:val="004215FE"/>
    <w:rPr>
      <w:rFonts w:cs="Times New Roman"/>
    </w:rPr>
  </w:style>
  <w:style w:type="character" w:styleId="PageNumber">
    <w:name w:val="page number"/>
    <w:basedOn w:val="DefaultParagraphFont"/>
    <w:uiPriority w:val="99"/>
    <w:semiHidden w:val="1"/>
    <w:unhideWhenUsed w:val="1"/>
    <w:rsid w:val="0009520A"/>
  </w:style>
  <w:style w:type="character" w:styleId="CommentReference">
    <w:name w:val="annotation reference"/>
    <w:basedOn w:val="DefaultParagraphFont"/>
    <w:uiPriority w:val="99"/>
    <w:semiHidden w:val="1"/>
    <w:unhideWhenUsed w:val="1"/>
    <w:rsid w:val="00FE362B"/>
    <w:rPr>
      <w:sz w:val="18"/>
      <w:szCs w:val="18"/>
    </w:rPr>
  </w:style>
  <w:style w:type="paragraph" w:styleId="CommentText">
    <w:name w:val="annotation text"/>
    <w:basedOn w:val="Normal"/>
    <w:link w:val="CommentTextChar"/>
    <w:uiPriority w:val="99"/>
    <w:semiHidden w:val="1"/>
    <w:unhideWhenUsed w:val="1"/>
    <w:rsid w:val="00FE362B"/>
  </w:style>
  <w:style w:type="character" w:styleId="CommentTextChar" w:customStyle="1">
    <w:name w:val="Comment Text Char"/>
    <w:basedOn w:val="DefaultParagraphFont"/>
    <w:link w:val="CommentText"/>
    <w:uiPriority w:val="99"/>
    <w:semiHidden w:val="1"/>
    <w:rsid w:val="00FE362B"/>
    <w:rPr>
      <w:sz w:val="24"/>
      <w:szCs w:val="24"/>
    </w:rPr>
  </w:style>
  <w:style w:type="paragraph" w:styleId="CommentSubject">
    <w:name w:val="annotation subject"/>
    <w:basedOn w:val="CommentText"/>
    <w:next w:val="CommentText"/>
    <w:link w:val="CommentSubjectChar"/>
    <w:uiPriority w:val="99"/>
    <w:semiHidden w:val="1"/>
    <w:unhideWhenUsed w:val="1"/>
    <w:rsid w:val="00FE362B"/>
    <w:rPr>
      <w:b w:val="1"/>
      <w:bCs w:val="1"/>
      <w:sz w:val="20"/>
      <w:szCs w:val="20"/>
    </w:rPr>
  </w:style>
  <w:style w:type="character" w:styleId="CommentSubjectChar" w:customStyle="1">
    <w:name w:val="Comment Subject Char"/>
    <w:basedOn w:val="CommentTextChar"/>
    <w:link w:val="CommentSubject"/>
    <w:uiPriority w:val="99"/>
    <w:semiHidden w:val="1"/>
    <w:rsid w:val="00FE362B"/>
    <w:rPr>
      <w:b w:val="1"/>
      <w:bCs w:val="1"/>
      <w:sz w:val="20"/>
      <w:szCs w:val="20"/>
    </w:rPr>
  </w:style>
  <w:style w:type="character" w:styleId="Hyperlink">
    <w:name w:val="Hyperlink"/>
    <w:basedOn w:val="DefaultParagraphFont"/>
    <w:uiPriority w:val="99"/>
    <w:unhideWhenUsed w:val="1"/>
    <w:rsid w:val="007B6D8A"/>
    <w:rPr>
      <w:color w:val="0000ff" w:themeColor="hyperlink"/>
      <w:u w:val="single"/>
    </w:rPr>
  </w:style>
  <w:style w:type="character" w:styleId="FollowedHyperlink">
    <w:name w:val="FollowedHyperlink"/>
    <w:basedOn w:val="DefaultParagraphFont"/>
    <w:uiPriority w:val="99"/>
    <w:semiHidden w:val="1"/>
    <w:unhideWhenUsed w:val="1"/>
    <w:rsid w:val="004D5E59"/>
    <w:rPr>
      <w:color w:val="800080" w:themeColor="followedHyperlink"/>
      <w:u w:val="single"/>
    </w:rPr>
  </w:style>
  <w:style w:type="paragraph" w:styleId="ListParagraph">
    <w:name w:val="List Paragraph"/>
    <w:basedOn w:val="Normal"/>
    <w:uiPriority w:val="34"/>
    <w:qFormat w:val="1"/>
    <w:rsid w:val="00E007B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editorial@elifesciences.org"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qJ6XYrbR5UUcdis3N8PZG84Tuw==">AMUW2mUe723nVGOlkyiI3mV21lHaXW2MvbZyCjFz5spH0Hr4hI5c0g/Q7qvvDS2OZrqgU6Vtqm8iJ0zJgAMYuNUBJU/hVzSWezjKjqKbY7yAcgFW1MTfiv+qNIGwegfyHWCf3eE4i/yq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cp:coreProperties>
</file>