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9B6268" w14:textId="77777777" w:rsidR="009663CA" w:rsidRPr="00420F6F" w:rsidRDefault="009663CA" w:rsidP="009663CA">
      <w:pPr>
        <w:spacing w:line="480" w:lineRule="auto"/>
        <w:rPr>
          <w:rFonts w:ascii="Times New Roman" w:hAnsi="Times New Roman" w:cs="Times New Roman"/>
          <w:sz w:val="24"/>
          <w:szCs w:val="24"/>
        </w:rPr>
      </w:pPr>
      <w:r w:rsidRPr="00420F6F">
        <w:rPr>
          <w:rFonts w:ascii="Times New Roman" w:hAnsi="Times New Roman" w:cs="Times New Roman"/>
          <w:b/>
          <w:iCs/>
          <w:sz w:val="24"/>
          <w:szCs w:val="24"/>
        </w:rPr>
        <w:t>Figure 1 –</w:t>
      </w:r>
      <w:bookmarkStart w:id="0" w:name="_Hlk74813882"/>
      <w:r w:rsidRPr="00420F6F">
        <w:rPr>
          <w:rFonts w:ascii="Times New Roman" w:hAnsi="Times New Roman" w:cs="Times New Roman"/>
          <w:b/>
          <w:iCs/>
          <w:sz w:val="24"/>
          <w:szCs w:val="24"/>
        </w:rPr>
        <w:t xml:space="preserve"> Source Data</w:t>
      </w:r>
      <w:r w:rsidRPr="00420F6F">
        <w:rPr>
          <w:rFonts w:ascii="Times New Roman" w:hAnsi="Times New Roman" w:cs="Times New Roman"/>
          <w:b/>
          <w:sz w:val="24"/>
          <w:szCs w:val="24"/>
        </w:rPr>
        <w:t xml:space="preserve"> 5:</w:t>
      </w:r>
      <w:r w:rsidRPr="00420F6F">
        <w:rPr>
          <w:rFonts w:ascii="Times New Roman" w:hAnsi="Times New Roman" w:cs="Times New Roman"/>
          <w:sz w:val="24"/>
          <w:szCs w:val="24"/>
        </w:rPr>
        <w:t xml:space="preserve"> Reactions and rates constant involved in signaling pathways leading from cAMP to PKA</w:t>
      </w:r>
      <w:bookmarkEnd w:id="0"/>
    </w:p>
    <w:tbl>
      <w:tblPr>
        <w:tblStyle w:val="ListTable1Light"/>
        <w:tblW w:w="10530" w:type="dxa"/>
        <w:tblLook w:val="04A0" w:firstRow="1" w:lastRow="0" w:firstColumn="1" w:lastColumn="0" w:noHBand="0" w:noVBand="1"/>
      </w:tblPr>
      <w:tblGrid>
        <w:gridCol w:w="3420"/>
        <w:gridCol w:w="1260"/>
        <w:gridCol w:w="1080"/>
        <w:gridCol w:w="1440"/>
        <w:gridCol w:w="3330"/>
      </w:tblGrid>
      <w:tr w:rsidR="00420F6F" w:rsidRPr="00420F6F" w14:paraId="2FBC2FCC" w14:textId="77777777" w:rsidTr="0064589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noWrap/>
            <w:hideMark/>
          </w:tcPr>
          <w:p w14:paraId="541B0858" w14:textId="77777777" w:rsidR="009663CA" w:rsidRPr="00420F6F" w:rsidRDefault="009663CA" w:rsidP="002E25BD">
            <w:pPr>
              <w:rPr>
                <w:rFonts w:ascii="Times New Roman" w:hAnsi="Times New Roman" w:cs="Times New Roman"/>
                <w:sz w:val="20"/>
                <w:szCs w:val="20"/>
              </w:rPr>
            </w:pPr>
            <w:r w:rsidRPr="00420F6F">
              <w:rPr>
                <w:rFonts w:ascii="Times New Roman" w:hAnsi="Times New Roman" w:cs="Times New Roman"/>
                <w:sz w:val="20"/>
                <w:szCs w:val="20"/>
              </w:rPr>
              <w:t>Reaction equation</w:t>
            </w:r>
          </w:p>
        </w:tc>
        <w:tc>
          <w:tcPr>
            <w:tcW w:w="1260" w:type="dxa"/>
            <w:noWrap/>
            <w:hideMark/>
          </w:tcPr>
          <w:p w14:paraId="2C1C0CA2" w14:textId="77777777" w:rsidR="009663CA" w:rsidRPr="00420F6F" w:rsidRDefault="009663CA" w:rsidP="002E25B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420F6F">
              <w:rPr>
                <w:rFonts w:ascii="Times New Roman" w:hAnsi="Times New Roman" w:cs="Times New Roman"/>
                <w:sz w:val="20"/>
                <w:szCs w:val="20"/>
              </w:rPr>
              <w:t>K</w:t>
            </w:r>
            <w:r w:rsidRPr="00420F6F">
              <w:rPr>
                <w:rFonts w:ascii="Times New Roman" w:hAnsi="Times New Roman" w:cs="Times New Roman"/>
                <w:sz w:val="20"/>
                <w:szCs w:val="20"/>
                <w:vertAlign w:val="subscript"/>
              </w:rPr>
              <w:t>f</w:t>
            </w:r>
            <w:proofErr w:type="spellEnd"/>
            <w:r w:rsidRPr="00420F6F">
              <w:rPr>
                <w:rFonts w:ascii="Times New Roman" w:hAnsi="Times New Roman" w:cs="Times New Roman"/>
                <w:sz w:val="20"/>
                <w:szCs w:val="20"/>
              </w:rPr>
              <w:t xml:space="preserve"> (nM</w:t>
            </w:r>
            <w:r w:rsidRPr="00420F6F">
              <w:rPr>
                <w:rFonts w:ascii="Times New Roman" w:hAnsi="Times New Roman" w:cs="Times New Roman"/>
                <w:sz w:val="20"/>
                <w:szCs w:val="20"/>
                <w:vertAlign w:val="superscript"/>
              </w:rPr>
              <w:t>-1</w:t>
            </w:r>
            <w:r w:rsidRPr="00420F6F">
              <w:rPr>
                <w:rFonts w:ascii="Times New Roman" w:hAnsi="Times New Roman" w:cs="Times New Roman"/>
                <w:sz w:val="20"/>
                <w:szCs w:val="20"/>
              </w:rPr>
              <w:t>Sec</w:t>
            </w:r>
            <w:r w:rsidRPr="00420F6F">
              <w:rPr>
                <w:rFonts w:ascii="Times New Roman" w:hAnsi="Times New Roman" w:cs="Times New Roman"/>
                <w:sz w:val="20"/>
                <w:szCs w:val="20"/>
                <w:vertAlign w:val="superscript"/>
              </w:rPr>
              <w:t>-1</w:t>
            </w:r>
            <w:r w:rsidRPr="00420F6F">
              <w:rPr>
                <w:rFonts w:ascii="Times New Roman" w:hAnsi="Times New Roman" w:cs="Times New Roman"/>
                <w:sz w:val="20"/>
                <w:szCs w:val="20"/>
              </w:rPr>
              <w:t>)</w:t>
            </w:r>
          </w:p>
        </w:tc>
        <w:tc>
          <w:tcPr>
            <w:tcW w:w="1080" w:type="dxa"/>
            <w:noWrap/>
            <w:hideMark/>
          </w:tcPr>
          <w:p w14:paraId="4B1D7592" w14:textId="77777777" w:rsidR="009663CA" w:rsidRPr="00420F6F" w:rsidRDefault="009663CA" w:rsidP="002E25B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20F6F">
              <w:rPr>
                <w:rFonts w:ascii="Times New Roman" w:hAnsi="Times New Roman" w:cs="Times New Roman"/>
                <w:sz w:val="20"/>
                <w:szCs w:val="20"/>
              </w:rPr>
              <w:t>K</w:t>
            </w:r>
            <w:r w:rsidRPr="00420F6F">
              <w:rPr>
                <w:rFonts w:ascii="Times New Roman" w:hAnsi="Times New Roman" w:cs="Times New Roman"/>
                <w:sz w:val="20"/>
                <w:szCs w:val="20"/>
                <w:vertAlign w:val="subscript"/>
              </w:rPr>
              <w:t>b</w:t>
            </w:r>
            <w:r w:rsidRPr="00420F6F">
              <w:rPr>
                <w:rFonts w:ascii="Times New Roman" w:hAnsi="Times New Roman" w:cs="Times New Roman"/>
                <w:sz w:val="20"/>
                <w:szCs w:val="20"/>
              </w:rPr>
              <w:t xml:space="preserve"> (Sec</w:t>
            </w:r>
            <w:r w:rsidRPr="00420F6F">
              <w:rPr>
                <w:rFonts w:ascii="Times New Roman" w:hAnsi="Times New Roman" w:cs="Times New Roman"/>
                <w:sz w:val="20"/>
                <w:szCs w:val="20"/>
                <w:vertAlign w:val="superscript"/>
              </w:rPr>
              <w:t>-1</w:t>
            </w:r>
            <w:r w:rsidRPr="00420F6F">
              <w:rPr>
                <w:rFonts w:ascii="Times New Roman" w:hAnsi="Times New Roman" w:cs="Times New Roman"/>
                <w:sz w:val="20"/>
                <w:szCs w:val="20"/>
              </w:rPr>
              <w:t>)</w:t>
            </w:r>
          </w:p>
        </w:tc>
        <w:tc>
          <w:tcPr>
            <w:tcW w:w="1440" w:type="dxa"/>
            <w:noWrap/>
            <w:hideMark/>
          </w:tcPr>
          <w:p w14:paraId="44345042" w14:textId="77777777" w:rsidR="009663CA" w:rsidRPr="00420F6F" w:rsidRDefault="009663CA" w:rsidP="002E25B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420F6F">
              <w:rPr>
                <w:rFonts w:ascii="Times New Roman" w:hAnsi="Times New Roman" w:cs="Times New Roman"/>
                <w:sz w:val="20"/>
                <w:szCs w:val="20"/>
              </w:rPr>
              <w:t>K</w:t>
            </w:r>
            <w:r w:rsidRPr="00420F6F">
              <w:rPr>
                <w:rFonts w:ascii="Times New Roman" w:hAnsi="Times New Roman" w:cs="Times New Roman"/>
                <w:sz w:val="20"/>
                <w:szCs w:val="20"/>
                <w:vertAlign w:val="subscript"/>
              </w:rPr>
              <w:t>cat</w:t>
            </w:r>
            <w:proofErr w:type="spellEnd"/>
            <w:r w:rsidRPr="00420F6F">
              <w:rPr>
                <w:rFonts w:ascii="Times New Roman" w:hAnsi="Times New Roman" w:cs="Times New Roman"/>
                <w:sz w:val="20"/>
                <w:szCs w:val="20"/>
              </w:rPr>
              <w:t xml:space="preserve"> (Sec</w:t>
            </w:r>
            <w:r w:rsidRPr="00420F6F">
              <w:rPr>
                <w:rFonts w:ascii="Times New Roman" w:hAnsi="Times New Roman" w:cs="Times New Roman"/>
                <w:sz w:val="20"/>
                <w:szCs w:val="20"/>
                <w:vertAlign w:val="superscript"/>
              </w:rPr>
              <w:t>-1</w:t>
            </w:r>
            <w:r w:rsidRPr="00420F6F">
              <w:rPr>
                <w:rFonts w:ascii="Times New Roman" w:hAnsi="Times New Roman" w:cs="Times New Roman"/>
                <w:sz w:val="20"/>
                <w:szCs w:val="20"/>
              </w:rPr>
              <w:t>)</w:t>
            </w:r>
          </w:p>
        </w:tc>
        <w:tc>
          <w:tcPr>
            <w:tcW w:w="3330" w:type="dxa"/>
            <w:noWrap/>
            <w:hideMark/>
          </w:tcPr>
          <w:p w14:paraId="25F7D53C" w14:textId="77777777" w:rsidR="009663CA" w:rsidRPr="00420F6F" w:rsidRDefault="009663CA" w:rsidP="002E25B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20F6F">
              <w:rPr>
                <w:rFonts w:ascii="Times New Roman" w:hAnsi="Times New Roman" w:cs="Times New Roman"/>
                <w:sz w:val="20"/>
                <w:szCs w:val="20"/>
              </w:rPr>
              <w:t xml:space="preserve">Reference </w:t>
            </w:r>
          </w:p>
        </w:tc>
      </w:tr>
      <w:tr w:rsidR="009663CA" w:rsidRPr="00A122F2" w14:paraId="58576DF0" w14:textId="77777777" w:rsidTr="0064589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noWrap/>
            <w:hideMark/>
          </w:tcPr>
          <w:p w14:paraId="61826625" w14:textId="77777777" w:rsidR="009663CA" w:rsidRPr="00420F6F" w:rsidRDefault="009663CA" w:rsidP="002E25BD">
            <w:pPr>
              <w:rPr>
                <w:rFonts w:ascii="Times New Roman" w:hAnsi="Times New Roman" w:cs="Times New Roman"/>
                <w:i/>
                <w:sz w:val="20"/>
                <w:szCs w:val="20"/>
              </w:rPr>
            </w:pPr>
            <w:r w:rsidRPr="00420F6F">
              <w:rPr>
                <w:rFonts w:ascii="Times New Roman" w:hAnsi="Times New Roman" w:cs="Times New Roman"/>
                <w:i/>
                <w:sz w:val="20"/>
                <w:szCs w:val="20"/>
              </w:rPr>
              <w:t xml:space="preserve">PKA + 2cAMP </w:t>
            </w:r>
            <m:oMath>
              <m:r>
                <m:rPr>
                  <m:sty m:val="bi"/>
                </m:rPr>
                <w:rPr>
                  <w:rFonts w:ascii="Cambria Math" w:hAnsi="Cambria Math" w:cs="Times New Roman"/>
                  <w:sz w:val="20"/>
                  <w:szCs w:val="20"/>
                </w:rPr>
                <m:t xml:space="preserve">↔ </m:t>
              </m:r>
            </m:oMath>
            <w:r w:rsidRPr="00420F6F">
              <w:rPr>
                <w:rFonts w:ascii="Times New Roman" w:hAnsi="Times New Roman" w:cs="Times New Roman"/>
                <w:i/>
                <w:sz w:val="20"/>
                <w:szCs w:val="20"/>
              </w:rPr>
              <w:t>PKAcAMP2</w:t>
            </w:r>
          </w:p>
        </w:tc>
        <w:tc>
          <w:tcPr>
            <w:tcW w:w="1260" w:type="dxa"/>
            <w:noWrap/>
            <w:hideMark/>
          </w:tcPr>
          <w:p w14:paraId="62958CC1" w14:textId="77777777" w:rsidR="009663CA" w:rsidRPr="00420F6F" w:rsidRDefault="009663CA" w:rsidP="002E25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20F6F">
              <w:rPr>
                <w:rFonts w:ascii="Times New Roman" w:hAnsi="Times New Roman" w:cs="Times New Roman"/>
                <w:sz w:val="20"/>
                <w:szCs w:val="20"/>
              </w:rPr>
              <w:t>2.16E-04</w:t>
            </w:r>
          </w:p>
        </w:tc>
        <w:tc>
          <w:tcPr>
            <w:tcW w:w="1080" w:type="dxa"/>
            <w:noWrap/>
            <w:hideMark/>
          </w:tcPr>
          <w:p w14:paraId="1E45B6DC" w14:textId="77777777" w:rsidR="009663CA" w:rsidRPr="00420F6F" w:rsidRDefault="009663CA" w:rsidP="002E25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20F6F">
              <w:rPr>
                <w:rFonts w:ascii="Times New Roman" w:hAnsi="Times New Roman" w:cs="Times New Roman"/>
                <w:sz w:val="20"/>
                <w:szCs w:val="20"/>
              </w:rPr>
              <w:t>6.00E-02</w:t>
            </w:r>
          </w:p>
        </w:tc>
        <w:tc>
          <w:tcPr>
            <w:tcW w:w="1440" w:type="dxa"/>
            <w:noWrap/>
            <w:hideMark/>
          </w:tcPr>
          <w:p w14:paraId="7384DB3A" w14:textId="77777777" w:rsidR="009663CA" w:rsidRPr="00420F6F" w:rsidRDefault="009663CA" w:rsidP="002E25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330" w:type="dxa"/>
            <w:noWrap/>
            <w:hideMark/>
          </w:tcPr>
          <w:p w14:paraId="4ADB40F2" w14:textId="77777777" w:rsidR="009663CA" w:rsidRPr="00420F6F" w:rsidRDefault="009663CA" w:rsidP="002E25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0"/>
                <w:szCs w:val="20"/>
              </w:rPr>
            </w:pPr>
            <w:r w:rsidRPr="00420F6F">
              <w:rPr>
                <w:rFonts w:ascii="Times New Roman" w:hAnsi="Times New Roman" w:cs="Times New Roman"/>
                <w:color w:val="FF0000"/>
                <w:sz w:val="20"/>
                <w:szCs w:val="20"/>
              </w:rPr>
              <w:fldChar w:fldCharType="begin"/>
            </w:r>
            <w:r w:rsidR="00233E7B" w:rsidRPr="00420F6F">
              <w:rPr>
                <w:rFonts w:ascii="Times New Roman" w:hAnsi="Times New Roman" w:cs="Times New Roman"/>
                <w:color w:val="FF0000"/>
                <w:sz w:val="20"/>
                <w:szCs w:val="20"/>
              </w:rPr>
              <w:instrText xml:space="preserve"> ADDIN ZOTERO_ITEM CSL_CITATION {"citationID":"ibQCvo4o","properties":{"formattedCitation":"(Herberg et al., 1996; J\\uc0\\u553{}drzejewska-Szmek et al., 2017; Ogreid and D\\uc0\\u248{}skeland, 1981)","plainCitation":"(Herberg et al., 1996; Jȩdrzejewska-Szmek et al., 2017; Ogreid and Døskeland, 1981)","noteIndex":0},"citationItems":[{"id":1980,"uris":["http://zotero.org/users/5647496/items/CNCEMFSG"],"uri":["http://zotero.org/users/5647496/items/CNCEMFSG"],"itemData":{"id":1980,"type":"article-journal","abstract":"cAMP-dependent protein kinase (cAPK) is a heterotetramer containing two regulatory (R) and two catalytic (C) subunits. Each R-subunit contains two tandem cAMP-binding domains, and activation of cAPK is mediated by the cooperative, high affinity binding of cAMP to these two domains. Mutant R-subunits containing one intact high affinity cAMP-binding site and one defective site were used to define the pathway for activation and to delineate the unique roles that each cAMP-binding domain plays. Two mutations were introduced by replacing the essential Arg in each cAMP-binding site with Lys (R209K in Site A and R333K in Site B). Also, the double mutant (R209/333K) was constructed. Analysis of cAMP binding and dissociation and the apparent constants for holoenzyme activation and R- and C-subunit interaction, measured by analytical gel filtration and surface plasmon resonance, established the following:  (1) For rR(R209K), occupancy of Site B is not sufficient to activate the holoenzyme; the low affinity Site A must also be occupied. In rR(R333K), Site A retains its high affinity for cAMP, but Site A cannot bind until the low affinity Site B is occupied. Thus, both mutants, for different reasons, have similar Ka's for activation that are approximately 20-fold higher than that of the wild-type holoenzyme. The double mutant with two defective sites is no worse than either single mutant. (2) Kinetic analysis of cAMP binding showed that the mutation in Site A or B abolishes high affinity cAMP binding to that site and slightly weakens the affinity of the adjacent site for cAMP. (3) In the presence of MgATP, both mutants rapidly form a stable holoenzyme even in the presence of cAMP in contrast to the wild-type R where holoenzyme forms slowly in vitro and requires dialysis. Regarding the mechanism of activation based on these and other mutants and from kinetic data, the following conclusions are reached:  Site A provides the major contact site with the C-subunit; Site B is not essential for holoenzyme formation. Occupancy of Site A by cAMP mediates dissociation of the C-subunit. Site A is inaccessible to cAMP in the full length holoenzyme, while Site B is fully accessible. Access of cAMP to Site A is mediated by Site B. Thus Site B not only helps to shield Site A, it also provides the specific signal that “opens up” Site A. Finally, a nonfunctional Site A in the holoenzyme prevents stable binding of cAMP to Site B in the absence of subunit dissociation.","container-title":"Biochemistry","DOI":"10.1021/bi951647c","ISSN":"0006-2960","issue":"9","journalAbbreviation":"Biochemistry","note":"publisher: American Chemical Society","page":"2934-2942","source":"ACS Publications","title":"Active Site Mutations Define the Pathway for the Cooperative Activation of cAMP-Dependent Protein Kinase","volume":"35","author":[{"family":"Herberg","given":"Friedrich W."},{"family":"Taylor","given":"Susan S."},{"family":"Dostmann","given":"Wolfgang R. G."}],"issued":{"date-parts":[["1996",1,1]]}},"label":"page"},{"id":260,"uris":["http://zotero.org/users/5647496/items/UMKX2QTZ"],"uri":["http://zotero.org/users/5647496/items/UMKX2QTZ"],"itemData":{"id":260,"type":"article-journal","container-title":"PLOS Computational Biology","DOI":"10.1371/journal.pcbi.1005657","ISSN":"1553-7358","issue":"7","language":"en","page":"e1005657","source":"Crossref","title":"β-adrenergic signaling broadly contributes to LTP induction","volume":"13","author":[{"family":"Jȩdrzejewska-Szmek","given":"Joanna"},{"family":"Luczak","given":"Vincent"},{"family":"Abel","given":"Ted"},{"family":"Blackwell","given":"Kim T"}],"editor":[{"family":"Lytton","given":"William W"}],"issued":{"date-parts":[["2017",7,24]]}},"label":"page"},{"id":1978,"uris":["http://zotero.org/users/5647496/items/4JVI8ILX"],"uri":["http://zotero.org/users/5647496/items/4JVI8ILX"],"itemData":{"id":1978,"type":"article-journal","container-title":"FEBS letters","DOI":"10.1016/0014-5793(81)80185-8","ISSN":"0014-5793","issue":"2","journalAbbreviation":"FEBS Lett","language":"eng","note":"PMID: 6269882","page":"287-292","source":"PubMed","title":"The kinetics of association of cyclic AMP to the two types of binding sites associated with protein kinase II from bovine myocardium","volume":"129","author":[{"family":"Ogreid","given":"D."},{"family":"Døskeland","given":"S. O."}],"issued":{"date-parts":[["1981",7,6]]}},"label":"page"}],"schema":"https://github.com/citation-style-language/schema/raw/master/csl-citation.json"} </w:instrText>
            </w:r>
            <w:r w:rsidRPr="00420F6F">
              <w:rPr>
                <w:rFonts w:ascii="Times New Roman" w:hAnsi="Times New Roman" w:cs="Times New Roman"/>
                <w:color w:val="FF0000"/>
                <w:sz w:val="20"/>
                <w:szCs w:val="20"/>
              </w:rPr>
              <w:fldChar w:fldCharType="separate"/>
            </w:r>
            <w:r w:rsidR="00233E7B" w:rsidRPr="00420F6F">
              <w:rPr>
                <w:rFonts w:ascii="Times New Roman" w:hAnsi="Times New Roman" w:cs="Times New Roman"/>
                <w:color w:val="FF0000"/>
                <w:sz w:val="20"/>
                <w:szCs w:val="24"/>
              </w:rPr>
              <w:t>Herberg et al., 1996; Jȩdrzejewska-Szmek et al., 2017; Ogreid and Døskeland, 1981</w:t>
            </w:r>
            <w:r w:rsidRPr="00420F6F">
              <w:rPr>
                <w:rFonts w:ascii="Times New Roman" w:hAnsi="Times New Roman" w:cs="Times New Roman"/>
                <w:color w:val="FF0000"/>
                <w:sz w:val="20"/>
                <w:szCs w:val="20"/>
              </w:rPr>
              <w:fldChar w:fldCharType="end"/>
            </w:r>
          </w:p>
        </w:tc>
      </w:tr>
      <w:tr w:rsidR="009663CA" w:rsidRPr="00A122F2" w14:paraId="23520154" w14:textId="77777777" w:rsidTr="0064589A">
        <w:trPr>
          <w:trHeight w:val="300"/>
        </w:trPr>
        <w:tc>
          <w:tcPr>
            <w:cnfStyle w:val="001000000000" w:firstRow="0" w:lastRow="0" w:firstColumn="1" w:lastColumn="0" w:oddVBand="0" w:evenVBand="0" w:oddHBand="0" w:evenHBand="0" w:firstRowFirstColumn="0" w:firstRowLastColumn="0" w:lastRowFirstColumn="0" w:lastRowLastColumn="0"/>
            <w:tcW w:w="3420" w:type="dxa"/>
            <w:noWrap/>
            <w:hideMark/>
          </w:tcPr>
          <w:p w14:paraId="2D216ADA" w14:textId="77777777" w:rsidR="009663CA" w:rsidRPr="00420F6F" w:rsidRDefault="009663CA" w:rsidP="002E25BD">
            <w:pPr>
              <w:rPr>
                <w:rFonts w:ascii="Times New Roman" w:hAnsi="Times New Roman" w:cs="Times New Roman"/>
                <w:i/>
                <w:sz w:val="20"/>
                <w:szCs w:val="20"/>
              </w:rPr>
            </w:pPr>
            <w:r w:rsidRPr="00420F6F">
              <w:rPr>
                <w:rFonts w:ascii="Times New Roman" w:hAnsi="Times New Roman" w:cs="Times New Roman"/>
                <w:i/>
                <w:sz w:val="20"/>
                <w:szCs w:val="20"/>
              </w:rPr>
              <w:t>PKAcAMP2+2cAMP</w:t>
            </w:r>
            <m:oMath>
              <m:r>
                <m:rPr>
                  <m:sty m:val="bi"/>
                </m:rPr>
                <w:rPr>
                  <w:rFonts w:ascii="Cambria Math" w:hAnsi="Cambria Math" w:cs="Times New Roman"/>
                  <w:sz w:val="20"/>
                  <w:szCs w:val="20"/>
                </w:rPr>
                <m:t xml:space="preserve"> ↔ </m:t>
              </m:r>
            </m:oMath>
            <w:r w:rsidRPr="00420F6F">
              <w:rPr>
                <w:rFonts w:ascii="Times New Roman" w:hAnsi="Times New Roman" w:cs="Times New Roman"/>
                <w:i/>
                <w:sz w:val="20"/>
                <w:szCs w:val="20"/>
              </w:rPr>
              <w:t>PKAcAMP4</w:t>
            </w:r>
          </w:p>
        </w:tc>
        <w:tc>
          <w:tcPr>
            <w:tcW w:w="1260" w:type="dxa"/>
            <w:noWrap/>
            <w:hideMark/>
          </w:tcPr>
          <w:p w14:paraId="760CFECA" w14:textId="77777777" w:rsidR="009663CA" w:rsidRPr="00420F6F" w:rsidRDefault="009663CA" w:rsidP="002E25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20F6F">
              <w:rPr>
                <w:rFonts w:ascii="Times New Roman" w:hAnsi="Times New Roman" w:cs="Times New Roman"/>
                <w:sz w:val="20"/>
                <w:szCs w:val="20"/>
              </w:rPr>
              <w:t>3.50E-04</w:t>
            </w:r>
          </w:p>
        </w:tc>
        <w:tc>
          <w:tcPr>
            <w:tcW w:w="1080" w:type="dxa"/>
            <w:noWrap/>
            <w:hideMark/>
          </w:tcPr>
          <w:p w14:paraId="6B97842A" w14:textId="77777777" w:rsidR="009663CA" w:rsidRPr="00420F6F" w:rsidRDefault="009663CA" w:rsidP="002E25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20F6F">
              <w:rPr>
                <w:rFonts w:ascii="Times New Roman" w:hAnsi="Times New Roman" w:cs="Times New Roman"/>
                <w:sz w:val="20"/>
                <w:szCs w:val="20"/>
              </w:rPr>
              <w:t>6.00E-01</w:t>
            </w:r>
          </w:p>
        </w:tc>
        <w:tc>
          <w:tcPr>
            <w:tcW w:w="1440" w:type="dxa"/>
            <w:noWrap/>
            <w:hideMark/>
          </w:tcPr>
          <w:p w14:paraId="2EB637F8" w14:textId="77777777" w:rsidR="009663CA" w:rsidRPr="00420F6F" w:rsidRDefault="009663CA" w:rsidP="002E25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330" w:type="dxa"/>
            <w:noWrap/>
            <w:hideMark/>
          </w:tcPr>
          <w:p w14:paraId="1F8DF08D" w14:textId="77777777" w:rsidR="009663CA" w:rsidRPr="00420F6F" w:rsidRDefault="009663CA" w:rsidP="002E25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0"/>
                <w:szCs w:val="20"/>
              </w:rPr>
            </w:pPr>
            <w:r w:rsidRPr="00420F6F">
              <w:rPr>
                <w:rFonts w:ascii="Times New Roman" w:hAnsi="Times New Roman" w:cs="Times New Roman"/>
                <w:color w:val="FF0000"/>
                <w:sz w:val="20"/>
                <w:szCs w:val="20"/>
              </w:rPr>
              <w:fldChar w:fldCharType="begin"/>
            </w:r>
            <w:r w:rsidR="00233E7B" w:rsidRPr="00420F6F">
              <w:rPr>
                <w:rFonts w:ascii="Times New Roman" w:hAnsi="Times New Roman" w:cs="Times New Roman"/>
                <w:color w:val="FF0000"/>
                <w:sz w:val="20"/>
                <w:szCs w:val="20"/>
              </w:rPr>
              <w:instrText xml:space="preserve"> ADDIN ZOTERO_ITEM CSL_CITATION {"citationID":"NorxP68e","properties":{"formattedCitation":"(Herberg et al., 1996; J\\uc0\\u553{}drzejewska-Szmek et al., 2017; Ogreid and D\\uc0\\u248{}skeland, 1982)","plainCitation":"(Herberg et al., 1996; Jȩdrzejewska-Szmek et al., 2017; Ogreid and Døskeland, 1982)","noteIndex":0},"citationItems":[{"id":1980,"uris":["http://zotero.org/users/5647496/items/CNCEMFSG"],"uri":["http://zotero.org/users/5647496/items/CNCEMFSG"],"itemData":{"id":1980,"type":"article-journal","abstract":"cAMP-dependent protein kinase (cAPK) is a heterotetramer containing two regulatory (R) and two catalytic (C) subunits. Each R-subunit contains two tandem cAMP-binding domains, and activation of cAPK is mediated by the cooperative, high affinity binding of cAMP to these two domains. Mutant R-subunits containing one intact high affinity cAMP-binding site and one defective site were used to define the pathway for activation and to delineate the unique roles that each cAMP-binding domain plays. Two mutations were introduced by replacing the essential Arg in each cAMP-binding site with Lys (R209K in Site A and R333K in Site B). Also, the double mutant (R209/333K) was constructed. Analysis of cAMP binding and dissociation and the apparent constants for holoenzyme activation and R- and C-subunit interaction, measured by analytical gel filtration and surface plasmon resonance, established the following:  (1) For rR(R209K), occupancy of Site B is not sufficient to activate the holoenzyme; the low affinity Site A must also be occupied. In rR(R333K), Site A retains its high affinity for cAMP, but Site A cannot bind until the low affinity Site B is occupied. Thus, both mutants, for different reasons, have similar Ka's for activation that are approximately 20-fold higher than that of the wild-type holoenzyme. The double mutant with two defective sites is no worse than either single mutant. (2) Kinetic analysis of cAMP binding showed that the mutation in Site A or B abolishes high affinity cAMP binding to that site and slightly weakens the affinity of the adjacent site for cAMP. (3) In the presence of MgATP, both mutants rapidly form a stable holoenzyme even in the presence of cAMP in contrast to the wild-type R where holoenzyme forms slowly in vitro and requires dialysis. Regarding the mechanism of activation based on these and other mutants and from kinetic data, the following conclusions are reached:  Site A provides the major contact site with the C-subunit; Site B is not essential for holoenzyme formation. Occupancy of Site A by cAMP mediates dissociation of the C-subunit. Site A is inaccessible to cAMP in the full length holoenzyme, while Site B is fully accessible. Access of cAMP to Site A is mediated by Site B. Thus Site B not only helps to shield Site A, it also provides the specific signal that “opens up” Site A. Finally, a nonfunctional Site A in the holoenzyme prevents stable binding of cAMP to Site B in the absence of subunit dissociation.","container-title":"Biochemistry","DOI":"10.1021/bi951647c","ISSN":"0006-2960","issue":"9","journalAbbreviation":"Biochemistry","note":"publisher: American Chemical Society","page":"2934-2942","source":"ACS Publications","title":"Active Site Mutations Define the Pathway for the Cooperative Activation of cAMP-Dependent Protein Kinase","volume":"35","author":[{"family":"Herberg","given":"Friedrich W."},{"family":"Taylor","given":"Susan S."},{"family":"Dostmann","given":"Wolfgang R. G."}],"issued":{"date-parts":[["1996",1,1]]}},"label":"page"},{"id":260,"uris":["http://zotero.org/users/5647496/items/UMKX2QTZ"],"uri":["http://zotero.org/users/5647496/items/UMKX2QTZ"],"itemData":{"id":260,"type":"article-journal","container-title":"PLOS Computational Biology","DOI":"10.1371/journal.pcbi.1005657","ISSN":"1553-7358","issue":"7","language":"en","page":"e1005657","source":"Crossref","title":"β-adrenergic signaling broadly contributes to LTP induction","volume":"13","author":[{"family":"Jȩdrzejewska-Szmek","given":"Joanna"},{"family":"Luczak","given":"Vincent"},{"family":"Abel","given":"Ted"},{"family":"Blackwell","given":"Kim T"}],"editor":[{"family":"Lytton","given":"William W"}],"issued":{"date-parts":[["2017",7,24]]}},"label":"page"},{"id":1983,"uris":["http://zotero.org/users/5647496/items/GGUHTU7G"],"uri":["http://zotero.org/users/5647496/items/GGUHTU7G"],"itemData":{"id":1983,"type":"article-journal","abstract":"cAMP-dependent protein kinase I and II (cAKI and cAKII) were incubated under near physiological conditions in the presence of various concentrations of 8-N3-c[3H]AMP or c[3H]AMP. Both types (A and B) of cyclic nucleotide binding sites of cAKI or cAKII were occupied to a similar extent and the degree of their occupation correlated with the degree of kinase activation. cAKI and cAKII bound cAMP in an apparent positively cooperative manner in the presence of Mg2+, ATP. 8-N3-c[3H]AMP dissociated several orders of magnitude faster from site A than site B of the regulatory moiety of cAKII, and was photo-incorporated only when bound to site B.","container-title":"FEBS letters","DOI":"10.1016/0014-5793(82)81326-4","ISSN":"0014-5793","issue":"1","journalAbbreviation":"FEBS Lett","language":"eng","note":"PMID: 6297968","page":"161-166","source":"PubMed","title":"Activation of protein kinase isoenzymes under near physiological conditions. Evidence that both types (A and B) of cAMP binding sites are involved in the activation of protein kinase by cAMP and 8-N3-cAMP","volume":"150","author":[{"family":"Ogreid","given":"D."},{"family":"Døskeland","given":"S. O."}],"issued":{"date-parts":[["1982",12,13]]}},"label":"page"}],"schema":"https://github.com/citation-style-language/schema/raw/master/csl-citation.json"} </w:instrText>
            </w:r>
            <w:r w:rsidRPr="00420F6F">
              <w:rPr>
                <w:rFonts w:ascii="Times New Roman" w:hAnsi="Times New Roman" w:cs="Times New Roman"/>
                <w:color w:val="FF0000"/>
                <w:sz w:val="20"/>
                <w:szCs w:val="20"/>
              </w:rPr>
              <w:fldChar w:fldCharType="separate"/>
            </w:r>
            <w:r w:rsidR="00233E7B" w:rsidRPr="00420F6F">
              <w:rPr>
                <w:rFonts w:ascii="Times New Roman" w:hAnsi="Times New Roman" w:cs="Times New Roman"/>
                <w:color w:val="FF0000"/>
                <w:sz w:val="20"/>
                <w:szCs w:val="24"/>
              </w:rPr>
              <w:t>Herberg et al., 1996; Jȩdrzejewska-Szmek et al., 2017; Ogreid and Døskeland, 1982</w:t>
            </w:r>
            <w:r w:rsidRPr="00420F6F">
              <w:rPr>
                <w:rFonts w:ascii="Times New Roman" w:hAnsi="Times New Roman" w:cs="Times New Roman"/>
                <w:color w:val="FF0000"/>
                <w:sz w:val="20"/>
                <w:szCs w:val="20"/>
              </w:rPr>
              <w:fldChar w:fldCharType="end"/>
            </w:r>
          </w:p>
        </w:tc>
      </w:tr>
      <w:tr w:rsidR="009663CA" w:rsidRPr="00A122F2" w14:paraId="350026C7" w14:textId="77777777" w:rsidTr="0064589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noWrap/>
            <w:hideMark/>
          </w:tcPr>
          <w:p w14:paraId="1C09BE85" w14:textId="77777777" w:rsidR="009663CA" w:rsidRPr="00420F6F" w:rsidRDefault="009663CA" w:rsidP="002E25BD">
            <w:pPr>
              <w:rPr>
                <w:rFonts w:ascii="Times New Roman" w:hAnsi="Times New Roman" w:cs="Times New Roman"/>
                <w:i/>
                <w:sz w:val="20"/>
                <w:szCs w:val="20"/>
              </w:rPr>
            </w:pPr>
            <w:r w:rsidRPr="00420F6F">
              <w:rPr>
                <w:rFonts w:ascii="Times New Roman" w:hAnsi="Times New Roman" w:cs="Times New Roman"/>
                <w:i/>
                <w:sz w:val="20"/>
                <w:szCs w:val="20"/>
              </w:rPr>
              <w:t>PKAcAMP4</w:t>
            </w:r>
            <m:oMath>
              <m:r>
                <m:rPr>
                  <m:sty m:val="bi"/>
                </m:rPr>
                <w:rPr>
                  <w:rFonts w:ascii="Cambria Math" w:hAnsi="Cambria Math" w:cs="Times New Roman"/>
                  <w:sz w:val="20"/>
                  <w:szCs w:val="20"/>
                </w:rPr>
                <m:t xml:space="preserve"> ↔</m:t>
              </m:r>
            </m:oMath>
            <w:r w:rsidRPr="00420F6F">
              <w:rPr>
                <w:rFonts w:ascii="Times New Roman" w:hAnsi="Times New Roman" w:cs="Times New Roman"/>
                <w:i/>
                <w:sz w:val="20"/>
                <w:szCs w:val="20"/>
              </w:rPr>
              <w:t xml:space="preserve"> PKAr + PKAc</w:t>
            </w:r>
          </w:p>
        </w:tc>
        <w:tc>
          <w:tcPr>
            <w:tcW w:w="1260" w:type="dxa"/>
            <w:noWrap/>
            <w:hideMark/>
          </w:tcPr>
          <w:p w14:paraId="3CDEC756" w14:textId="77777777" w:rsidR="009663CA" w:rsidRPr="00420F6F" w:rsidRDefault="009663CA" w:rsidP="002E25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20F6F">
              <w:rPr>
                <w:rFonts w:ascii="Times New Roman" w:hAnsi="Times New Roman" w:cs="Times New Roman"/>
                <w:sz w:val="20"/>
                <w:szCs w:val="20"/>
              </w:rPr>
              <w:t>2.40E-01</w:t>
            </w:r>
          </w:p>
        </w:tc>
        <w:tc>
          <w:tcPr>
            <w:tcW w:w="1080" w:type="dxa"/>
            <w:noWrap/>
            <w:hideMark/>
          </w:tcPr>
          <w:p w14:paraId="499211F9" w14:textId="77777777" w:rsidR="009663CA" w:rsidRPr="00420F6F" w:rsidRDefault="009663CA" w:rsidP="002E25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20F6F">
              <w:rPr>
                <w:rFonts w:ascii="Times New Roman" w:hAnsi="Times New Roman" w:cs="Times New Roman"/>
                <w:sz w:val="20"/>
                <w:szCs w:val="20"/>
              </w:rPr>
              <w:t>2.55E-02</w:t>
            </w:r>
          </w:p>
        </w:tc>
        <w:tc>
          <w:tcPr>
            <w:tcW w:w="1440" w:type="dxa"/>
            <w:noWrap/>
            <w:hideMark/>
          </w:tcPr>
          <w:p w14:paraId="03C84E3C" w14:textId="77777777" w:rsidR="009663CA" w:rsidRPr="00420F6F" w:rsidRDefault="009663CA" w:rsidP="002E25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330" w:type="dxa"/>
            <w:noWrap/>
            <w:hideMark/>
          </w:tcPr>
          <w:p w14:paraId="366DFFEE" w14:textId="77777777" w:rsidR="009663CA" w:rsidRPr="00420F6F" w:rsidRDefault="009663CA" w:rsidP="002E25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0"/>
                <w:szCs w:val="20"/>
              </w:rPr>
            </w:pPr>
            <w:r w:rsidRPr="00420F6F">
              <w:rPr>
                <w:rFonts w:ascii="Times New Roman" w:hAnsi="Times New Roman" w:cs="Times New Roman"/>
                <w:color w:val="FF0000"/>
                <w:sz w:val="20"/>
                <w:szCs w:val="20"/>
              </w:rPr>
              <w:fldChar w:fldCharType="begin"/>
            </w:r>
            <w:r w:rsidR="00233E7B" w:rsidRPr="00420F6F">
              <w:rPr>
                <w:rFonts w:ascii="Times New Roman" w:hAnsi="Times New Roman" w:cs="Times New Roman"/>
                <w:color w:val="FF0000"/>
                <w:sz w:val="20"/>
                <w:szCs w:val="20"/>
              </w:rPr>
              <w:instrText xml:space="preserve"> ADDIN ZOTERO_ITEM CSL_CITATION {"citationID":"7VUTl5lV","properties":{"formattedCitation":"(J\\uc0\\u553{}drzejewska-Szmek et al., 2017; Zawadzki and Taylor, 2004)","plainCitation":"(Jȩdrzejewska-Szmek et al., 2017; Zawadzki and Taylor, 2004)","noteIndex":0},"citationItems":[{"id":260,"uris":["http://zotero.org/users/5647496/items/UMKX2QTZ"],"uri":["http://zotero.org/users/5647496/items/UMKX2QTZ"],"itemData":{"id":260,"type":"article-journal","container-title":"PLOS Computational Biology","DOI":"10.1371/journal.pcbi.1005657","ISSN":"1553-7358","issue":"7","language":"en","page":"e1005657","source":"Crossref","title":"β-adrenergic signaling broadly contributes to LTP induction","volume":"13","author":[{"family":"Jȩdrzejewska-Szmek","given":"Joanna"},{"family":"Luczak","given":"Vincent"},{"family":"Abel","given":"Ted"},{"family":"Blackwell","given":"Kim T"}],"editor":[{"family":"Lytton","given":"William W"}],"issued":{"date-parts":[["2017",7,24]]}},"label":"page"},{"id":1987,"uris":["http://zotero.org/users/5647496/items/TPNLHWVH"],"uri":["http://zotero.org/users/5647496/items/TPNLHWVH"],"itemData":{"id":1987,"type":"article-journal","container-title":"Journal of Biological Chemistry","DOI":"10.1074/jbc.M310804200","ISSN":"00219258","issue":"8","journalAbbreviation":"Journal of Biological Chemistry","language":"en","page":"7029-7036","source":"DOI.org (Crossref)","title":"cAMP-dependent Protein Kinase Regulatory Subunit Type IIβ","volume":"279","author":[{"family":"Zawadzki","given":"Kerri M."},{"family":"Taylor","given":"Susan S."}],"issued":{"date-parts":[["2004",2]]}},"label":"page"}],"schema":"https://github.com/citation-style-language/schema/raw/master/csl-citation.json"} </w:instrText>
            </w:r>
            <w:r w:rsidRPr="00420F6F">
              <w:rPr>
                <w:rFonts w:ascii="Times New Roman" w:hAnsi="Times New Roman" w:cs="Times New Roman"/>
                <w:color w:val="FF0000"/>
                <w:sz w:val="20"/>
                <w:szCs w:val="20"/>
              </w:rPr>
              <w:fldChar w:fldCharType="separate"/>
            </w:r>
            <w:r w:rsidR="00233E7B" w:rsidRPr="00420F6F">
              <w:rPr>
                <w:rFonts w:ascii="Times New Roman" w:hAnsi="Times New Roman" w:cs="Times New Roman"/>
                <w:color w:val="FF0000"/>
                <w:sz w:val="20"/>
                <w:szCs w:val="24"/>
              </w:rPr>
              <w:t>Jȩdrzejewska-Szmek et al., 2017; Zawadzki and Taylor, 2004</w:t>
            </w:r>
            <w:r w:rsidRPr="00420F6F">
              <w:rPr>
                <w:rFonts w:ascii="Times New Roman" w:hAnsi="Times New Roman" w:cs="Times New Roman"/>
                <w:color w:val="FF0000"/>
                <w:sz w:val="20"/>
                <w:szCs w:val="20"/>
              </w:rPr>
              <w:fldChar w:fldCharType="end"/>
            </w:r>
          </w:p>
        </w:tc>
      </w:tr>
      <w:tr w:rsidR="009663CA" w:rsidRPr="00A122F2" w14:paraId="62352DAF" w14:textId="77777777" w:rsidTr="0064589A">
        <w:trPr>
          <w:trHeight w:val="300"/>
        </w:trPr>
        <w:tc>
          <w:tcPr>
            <w:cnfStyle w:val="001000000000" w:firstRow="0" w:lastRow="0" w:firstColumn="1" w:lastColumn="0" w:oddVBand="0" w:evenVBand="0" w:oddHBand="0" w:evenHBand="0" w:firstRowFirstColumn="0" w:firstRowLastColumn="0" w:lastRowFirstColumn="0" w:lastRowLastColumn="0"/>
            <w:tcW w:w="3420" w:type="dxa"/>
            <w:noWrap/>
            <w:hideMark/>
          </w:tcPr>
          <w:p w14:paraId="61DC678C" w14:textId="77777777" w:rsidR="009663CA" w:rsidRPr="00420F6F" w:rsidRDefault="009663CA" w:rsidP="002E25BD">
            <w:pPr>
              <w:rPr>
                <w:rFonts w:ascii="Times New Roman" w:hAnsi="Times New Roman" w:cs="Times New Roman"/>
                <w:i/>
                <w:sz w:val="20"/>
                <w:szCs w:val="20"/>
              </w:rPr>
            </w:pPr>
            <w:r w:rsidRPr="00420F6F">
              <w:rPr>
                <w:rFonts w:ascii="Times New Roman" w:hAnsi="Times New Roman" w:cs="Times New Roman"/>
                <w:i/>
                <w:sz w:val="20"/>
                <w:szCs w:val="20"/>
              </w:rPr>
              <w:t xml:space="preserve">PDE2+cAMP </w:t>
            </w:r>
            <m:oMath>
              <m:r>
                <m:rPr>
                  <m:sty m:val="bi"/>
                </m:rPr>
                <w:rPr>
                  <w:rFonts w:ascii="Cambria Math" w:hAnsi="Cambria Math" w:cs="Times New Roman"/>
                  <w:sz w:val="20"/>
                  <w:szCs w:val="20"/>
                </w:rPr>
                <m:t>↔</m:t>
              </m:r>
            </m:oMath>
            <w:r w:rsidRPr="00420F6F">
              <w:rPr>
                <w:rFonts w:ascii="Times New Roman" w:hAnsi="Times New Roman" w:cs="Times New Roman"/>
                <w:i/>
                <w:sz w:val="20"/>
                <w:szCs w:val="20"/>
              </w:rPr>
              <w:t xml:space="preserve"> PDE2cAMP</w:t>
            </w:r>
          </w:p>
        </w:tc>
        <w:tc>
          <w:tcPr>
            <w:tcW w:w="1260" w:type="dxa"/>
            <w:noWrap/>
            <w:hideMark/>
          </w:tcPr>
          <w:p w14:paraId="5F7D5C18" w14:textId="77777777" w:rsidR="009663CA" w:rsidRPr="00420F6F" w:rsidRDefault="009663CA" w:rsidP="002E25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20F6F">
              <w:rPr>
                <w:rFonts w:ascii="Times New Roman" w:hAnsi="Times New Roman" w:cs="Times New Roman"/>
                <w:sz w:val="20"/>
                <w:szCs w:val="20"/>
              </w:rPr>
              <w:t>2.00E-05</w:t>
            </w:r>
          </w:p>
        </w:tc>
        <w:tc>
          <w:tcPr>
            <w:tcW w:w="1080" w:type="dxa"/>
            <w:noWrap/>
            <w:hideMark/>
          </w:tcPr>
          <w:p w14:paraId="6742F6AF" w14:textId="77777777" w:rsidR="009663CA" w:rsidRPr="00420F6F" w:rsidRDefault="009663CA" w:rsidP="002E25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20F6F">
              <w:rPr>
                <w:rFonts w:ascii="Times New Roman" w:hAnsi="Times New Roman" w:cs="Times New Roman"/>
                <w:sz w:val="20"/>
                <w:szCs w:val="20"/>
              </w:rPr>
              <w:t>5.00E-01</w:t>
            </w:r>
          </w:p>
        </w:tc>
        <w:tc>
          <w:tcPr>
            <w:tcW w:w="1440" w:type="dxa"/>
            <w:noWrap/>
            <w:hideMark/>
          </w:tcPr>
          <w:p w14:paraId="0EFE7BFB" w14:textId="77777777" w:rsidR="009663CA" w:rsidRPr="00420F6F" w:rsidRDefault="009663CA" w:rsidP="002E25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330" w:type="dxa"/>
            <w:noWrap/>
            <w:hideMark/>
          </w:tcPr>
          <w:p w14:paraId="53E70EF2" w14:textId="77777777" w:rsidR="009663CA" w:rsidRPr="00420F6F" w:rsidRDefault="009663CA" w:rsidP="002E25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20F6F">
              <w:rPr>
                <w:rFonts w:ascii="Times New Roman" w:hAnsi="Times New Roman" w:cs="Times New Roman"/>
                <w:sz w:val="20"/>
                <w:szCs w:val="20"/>
              </w:rPr>
              <w:fldChar w:fldCharType="begin"/>
            </w:r>
            <w:r w:rsidRPr="00420F6F">
              <w:rPr>
                <w:rFonts w:ascii="Times New Roman" w:hAnsi="Times New Roman" w:cs="Times New Roman"/>
                <w:sz w:val="20"/>
                <w:szCs w:val="20"/>
              </w:rPr>
              <w:instrText xml:space="preserve"> ADDIN ZOTERO_ITEM CSL_CITATION {"citationID":"sAS9tYoQ","properties":{"formattedCitation":"(Blackwell et al., 2019)","plainCitation":"(Blackwell et al., 2019)","dontUpdate":true,"noteIndex":0},"citationItems":[{"id":323,"uris":["http://zotero.org/users/5647496/items/GFQYY6VK"],"uri":["http://zotero.org/users/5647496/items/GFQYY6VK"],"itemData":{"id":323,"type":"article-journal","abstract":"The striatum, the input structure of the basal ganglia, is a major site of learning and memory for goal-directed actions and habit formation. Spiny projection neurons of the striatum integrate cortical, thalamic, and nigral inputs to learn associations, with cortico-striatal synaptic plasticity as a learning mechanism. Signaling molecules implicated in synaptic plasticity are altered in alcohol withdrawal, which may contribute to overly strong learning and increased alcohol seeking and consumption. To understand how interactions among signaling molecules produce synaptic plasticity, we implemented a mechanistic model of signaling pathways activated by dopamine D1 receptors, acetylcholine receptors, and glutamate. We use our novel, computationally efficient simulator, NeuroRD, to simulate stochastic interactions both within and between dendritic spines. Dopamine release during theta burst and 20-Hz stimulation was extrapolated from fast-scan cyclic voltammetry data collected in mouse striatal slices. Our results show that the combined activity of several key plasticity molecules correctly predicts the occurrence of either LTP, LTD, or no plasticity for numerous experimental protocols. To investigate spatial interactions, we stimulate two spines, either adjacent or separated on a 20-μm dendritic segment. Our results show that molecules underlying LTP exhibit spatial specificity, whereas 2-arachidonoylglycerol exhibits a spatially diffuse elevation. We also implement changes in NMDA receptors, adenylyl cyclase, and G protein signaling that have been measured following chronic alcohol treatment. Simulations under these conditions suggest that the molecular changes can predict changes in synaptic plasticity, thereby accounting for some aspects of alcohol use disorder.","container-title":"European Journal of Neuroscience","DOI":"https://doi.org/10.1111/ejn.13919","ISSN":"1460-9568","issue":"6","language":"en","note":"_eprint: https://onlinelibrary.wiley.com/doi/pdf/10.1111/ejn.13919","page":"768-783","source":"Wiley Online Library","title":"Molecular mechanisms underlying striatal synaptic plasticity: relevance to chronic alcohol consumption and seeking","title-short":"Molecular mechanisms underlying striatal synaptic plasticity","volume":"49","author":[{"family":"Blackwell","given":"Kim T."},{"family":"Salinas","given":"Armando G."},{"family":"Tewatia","given":"Parul"},{"family":"English","given":"Brad"},{"family":"Kotaleski","given":"Jeanette Hellgren"},{"family":"Lovinger","given":"David M."}],"issued":{"date-parts":[["2019"]]}}}],"schema":"https://github.com/citation-style-language/schema/raw/master/csl-citation.json"} </w:instrText>
            </w:r>
            <w:r w:rsidRPr="00420F6F">
              <w:rPr>
                <w:rFonts w:ascii="Times New Roman" w:hAnsi="Times New Roman" w:cs="Times New Roman"/>
                <w:sz w:val="20"/>
                <w:szCs w:val="20"/>
              </w:rPr>
              <w:fldChar w:fldCharType="separate"/>
            </w:r>
            <w:r w:rsidRPr="00420F6F">
              <w:rPr>
                <w:rFonts w:ascii="Times New Roman" w:hAnsi="Times New Roman" w:cs="Times New Roman"/>
                <w:sz w:val="20"/>
                <w:szCs w:val="20"/>
              </w:rPr>
              <w:t>Blackwell et al., 2019</w:t>
            </w:r>
            <w:r w:rsidRPr="00420F6F">
              <w:rPr>
                <w:rFonts w:ascii="Times New Roman" w:hAnsi="Times New Roman" w:cs="Times New Roman"/>
                <w:sz w:val="20"/>
                <w:szCs w:val="20"/>
              </w:rPr>
              <w:fldChar w:fldCharType="end"/>
            </w:r>
          </w:p>
        </w:tc>
      </w:tr>
      <w:tr w:rsidR="009663CA" w:rsidRPr="00A122F2" w14:paraId="3ACBD953" w14:textId="77777777" w:rsidTr="0064589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noWrap/>
            <w:hideMark/>
          </w:tcPr>
          <w:p w14:paraId="2D266F43" w14:textId="77777777" w:rsidR="009663CA" w:rsidRPr="00420F6F" w:rsidRDefault="009663CA" w:rsidP="002E25BD">
            <w:pPr>
              <w:rPr>
                <w:rFonts w:ascii="Times New Roman" w:hAnsi="Times New Roman" w:cs="Times New Roman"/>
                <w:i/>
                <w:sz w:val="20"/>
                <w:szCs w:val="20"/>
              </w:rPr>
            </w:pPr>
            <w:r w:rsidRPr="00420F6F">
              <w:rPr>
                <w:rFonts w:ascii="Times New Roman" w:hAnsi="Times New Roman" w:cs="Times New Roman"/>
                <w:i/>
                <w:sz w:val="20"/>
                <w:szCs w:val="20"/>
              </w:rPr>
              <w:t xml:space="preserve">PDE2cAMP+cAMP </w:t>
            </w:r>
            <m:oMath>
              <m:r>
                <m:rPr>
                  <m:sty m:val="bi"/>
                </m:rPr>
                <w:rPr>
                  <w:rFonts w:ascii="Cambria Math" w:hAnsi="Cambria Math" w:cs="Times New Roman"/>
                  <w:sz w:val="20"/>
                  <w:szCs w:val="20"/>
                </w:rPr>
                <m:t xml:space="preserve">↔ </m:t>
              </m:r>
            </m:oMath>
            <w:r w:rsidRPr="00420F6F">
              <w:rPr>
                <w:rFonts w:ascii="Times New Roman" w:hAnsi="Times New Roman" w:cs="Times New Roman"/>
                <w:i/>
                <w:sz w:val="20"/>
                <w:szCs w:val="20"/>
              </w:rPr>
              <w:t>PDE2cAMP2 +AMP</w:t>
            </w:r>
          </w:p>
        </w:tc>
        <w:tc>
          <w:tcPr>
            <w:tcW w:w="1260" w:type="dxa"/>
            <w:noWrap/>
            <w:hideMark/>
          </w:tcPr>
          <w:p w14:paraId="36872B44" w14:textId="77777777" w:rsidR="009663CA" w:rsidRPr="00420F6F" w:rsidRDefault="009663CA" w:rsidP="002E25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20F6F">
              <w:rPr>
                <w:rFonts w:ascii="Times New Roman" w:hAnsi="Times New Roman" w:cs="Times New Roman"/>
                <w:sz w:val="20"/>
                <w:szCs w:val="20"/>
              </w:rPr>
              <w:t>5.90E-03</w:t>
            </w:r>
          </w:p>
        </w:tc>
        <w:tc>
          <w:tcPr>
            <w:tcW w:w="1080" w:type="dxa"/>
            <w:noWrap/>
            <w:hideMark/>
          </w:tcPr>
          <w:p w14:paraId="7A93A5F1" w14:textId="77777777" w:rsidR="009663CA" w:rsidRPr="00420F6F" w:rsidRDefault="009663CA" w:rsidP="002E25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20F6F">
              <w:rPr>
                <w:rFonts w:ascii="Times New Roman" w:hAnsi="Times New Roman" w:cs="Times New Roman"/>
                <w:sz w:val="20"/>
                <w:szCs w:val="20"/>
              </w:rPr>
              <w:t>5.00E-01</w:t>
            </w:r>
          </w:p>
        </w:tc>
        <w:tc>
          <w:tcPr>
            <w:tcW w:w="1440" w:type="dxa"/>
            <w:noWrap/>
            <w:hideMark/>
          </w:tcPr>
          <w:p w14:paraId="0D521161" w14:textId="77777777" w:rsidR="009663CA" w:rsidRPr="00420F6F" w:rsidRDefault="009663CA" w:rsidP="002E25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20F6F">
              <w:rPr>
                <w:rFonts w:ascii="Times New Roman" w:hAnsi="Times New Roman" w:cs="Times New Roman"/>
                <w:sz w:val="20"/>
                <w:szCs w:val="20"/>
              </w:rPr>
              <w:t>5.40E+00</w:t>
            </w:r>
          </w:p>
        </w:tc>
        <w:tc>
          <w:tcPr>
            <w:tcW w:w="3330" w:type="dxa"/>
            <w:noWrap/>
            <w:hideMark/>
          </w:tcPr>
          <w:p w14:paraId="20716F69" w14:textId="77777777" w:rsidR="009663CA" w:rsidRPr="00420F6F" w:rsidRDefault="009663CA" w:rsidP="002E25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20F6F">
              <w:rPr>
                <w:rFonts w:ascii="Times New Roman" w:hAnsi="Times New Roman" w:cs="Times New Roman"/>
                <w:sz w:val="20"/>
                <w:szCs w:val="20"/>
              </w:rPr>
              <w:t>Blackwell et al., 2019</w:t>
            </w:r>
          </w:p>
        </w:tc>
      </w:tr>
      <w:tr w:rsidR="009663CA" w:rsidRPr="00A122F2" w14:paraId="760A6863" w14:textId="77777777" w:rsidTr="0064589A">
        <w:trPr>
          <w:trHeight w:val="300"/>
        </w:trPr>
        <w:tc>
          <w:tcPr>
            <w:cnfStyle w:val="001000000000" w:firstRow="0" w:lastRow="0" w:firstColumn="1" w:lastColumn="0" w:oddVBand="0" w:evenVBand="0" w:oddHBand="0" w:evenHBand="0" w:firstRowFirstColumn="0" w:firstRowLastColumn="0" w:lastRowFirstColumn="0" w:lastRowLastColumn="0"/>
            <w:tcW w:w="3420" w:type="dxa"/>
            <w:noWrap/>
            <w:hideMark/>
          </w:tcPr>
          <w:p w14:paraId="395D1840" w14:textId="77777777" w:rsidR="009663CA" w:rsidRPr="00420F6F" w:rsidRDefault="009663CA" w:rsidP="002E25BD">
            <w:pPr>
              <w:rPr>
                <w:rFonts w:ascii="Times New Roman" w:hAnsi="Times New Roman" w:cs="Times New Roman"/>
                <w:i/>
                <w:sz w:val="20"/>
                <w:szCs w:val="20"/>
              </w:rPr>
            </w:pPr>
            <w:r w:rsidRPr="00420F6F">
              <w:rPr>
                <w:rFonts w:ascii="Times New Roman" w:hAnsi="Times New Roman" w:cs="Times New Roman"/>
                <w:i/>
                <w:sz w:val="20"/>
                <w:szCs w:val="20"/>
              </w:rPr>
              <w:t xml:space="preserve">PDE4+cAMP </w:t>
            </w:r>
            <m:oMath>
              <m:r>
                <m:rPr>
                  <m:sty m:val="bi"/>
                </m:rPr>
                <w:rPr>
                  <w:rFonts w:ascii="Cambria Math" w:hAnsi="Cambria Math" w:cs="Times New Roman"/>
                  <w:sz w:val="20"/>
                  <w:szCs w:val="20"/>
                </w:rPr>
                <m:t>↔</m:t>
              </m:r>
            </m:oMath>
            <w:r w:rsidRPr="00420F6F">
              <w:rPr>
                <w:rFonts w:ascii="Times New Roman" w:hAnsi="Times New Roman" w:cs="Times New Roman"/>
                <w:i/>
                <w:sz w:val="20"/>
                <w:szCs w:val="20"/>
              </w:rPr>
              <w:t xml:space="preserve"> PDE4 +AMP</w:t>
            </w:r>
          </w:p>
        </w:tc>
        <w:tc>
          <w:tcPr>
            <w:tcW w:w="1260" w:type="dxa"/>
            <w:noWrap/>
            <w:hideMark/>
          </w:tcPr>
          <w:p w14:paraId="43781396" w14:textId="77777777" w:rsidR="009663CA" w:rsidRPr="00420F6F" w:rsidRDefault="009663CA" w:rsidP="002E25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20F6F">
              <w:rPr>
                <w:rFonts w:ascii="Times New Roman" w:hAnsi="Times New Roman" w:cs="Times New Roman"/>
                <w:sz w:val="20"/>
                <w:szCs w:val="20"/>
              </w:rPr>
              <w:t>2.16E-02</w:t>
            </w:r>
          </w:p>
        </w:tc>
        <w:tc>
          <w:tcPr>
            <w:tcW w:w="1080" w:type="dxa"/>
            <w:noWrap/>
            <w:hideMark/>
          </w:tcPr>
          <w:p w14:paraId="70942E24" w14:textId="77777777" w:rsidR="009663CA" w:rsidRPr="00420F6F" w:rsidRDefault="009663CA" w:rsidP="002E25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20F6F">
              <w:rPr>
                <w:rFonts w:ascii="Times New Roman" w:hAnsi="Times New Roman" w:cs="Times New Roman"/>
                <w:sz w:val="20"/>
                <w:szCs w:val="20"/>
              </w:rPr>
              <w:t>6.90E+01</w:t>
            </w:r>
          </w:p>
        </w:tc>
        <w:tc>
          <w:tcPr>
            <w:tcW w:w="1440" w:type="dxa"/>
            <w:noWrap/>
            <w:hideMark/>
          </w:tcPr>
          <w:p w14:paraId="7FBB144F" w14:textId="77777777" w:rsidR="009663CA" w:rsidRPr="00420F6F" w:rsidRDefault="009663CA" w:rsidP="002E25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20F6F">
              <w:rPr>
                <w:rFonts w:ascii="Times New Roman" w:hAnsi="Times New Roman" w:cs="Times New Roman"/>
                <w:sz w:val="20"/>
                <w:szCs w:val="20"/>
              </w:rPr>
              <w:t>1.72E+01</w:t>
            </w:r>
          </w:p>
        </w:tc>
        <w:tc>
          <w:tcPr>
            <w:tcW w:w="3330" w:type="dxa"/>
            <w:noWrap/>
            <w:hideMark/>
          </w:tcPr>
          <w:p w14:paraId="47071701" w14:textId="77777777" w:rsidR="009663CA" w:rsidRPr="00A122F2" w:rsidRDefault="009663CA" w:rsidP="002E25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0"/>
                <w:szCs w:val="20"/>
              </w:rPr>
            </w:pPr>
            <w:r w:rsidRPr="00A122F2">
              <w:rPr>
                <w:rFonts w:ascii="Times New Roman" w:hAnsi="Times New Roman" w:cs="Times New Roman"/>
                <w:color w:val="FF0000"/>
                <w:sz w:val="20"/>
                <w:szCs w:val="20"/>
              </w:rPr>
              <w:fldChar w:fldCharType="begin"/>
            </w:r>
            <w:r w:rsidR="00233E7B">
              <w:rPr>
                <w:rFonts w:ascii="Times New Roman" w:hAnsi="Times New Roman" w:cs="Times New Roman"/>
                <w:color w:val="FF0000"/>
                <w:sz w:val="20"/>
                <w:szCs w:val="20"/>
              </w:rPr>
              <w:instrText xml:space="preserve"> ADDIN ZOTERO_ITEM CSL_CITATION {"citationID":"5Rxzzwai","properties":{"formattedCitation":"(Herman et al., 2000; J\\uc0\\u553{}drzejewska-Szmek et al., 2017)","plainCitation":"(Herman et al., 2000; Jȩdrzejewska-Szmek et al., 2017)","noteIndex":0},"citationItems":[{"id":1976,"uris":["http://zotero.org/users/5647496/items/KAUPRN9V"],"uri":["http://zotero.org/users/5647496/items/KAUPRN9V"],"itemData":{"id":1976,"type":"article-journal","abstract":"Cyclic nucleotide phosphodiesterase type 4 (PDE4) is a cAMP-specific phosphodiesterase that is found as four distinct genes in the mammalian genome (PDE4A, 4B, 4C, and 4D). Mutation analysis was done to identify the amino acids involved in activity and inhibitor selectivity. Mutations at Asp333 were made in HSPDE4D3 based on mutations that affect rolipram sensitivity in RNPDE4B1. The PDE4D3 Asp-Asn mutant was resistant to inhibition by rolipram as well as several other PDE4 inhibitors tested. These results suggest that this residue is near the inhibitor binding pocket in PDE4D3. Sequence comparison of PDE4 with cGMP-specific PDE proteins shows a conserved aspartic acid at position 333 in PDE4D3 and a conserved asparagine at this position in PDE enzymes that hydrolyze cGMP. Therefore, cGMP hydrolysis by PDE4D3 Asp-Asn was measured. PDE4D3 Asp-Asn hydrolyzes cGMP with kinetic constants similar to those observed for this protein with cAMP (K(m) approximately 20 microM, V(max) approximately 2 micromol AMP/min/mg recombinant protein). Under identical conditions, the K(m) value for cAMP hydrolysis by wild-type PDE4D3 is 3 microM and the V(max) value is 1 micromol AMP/min/mg recombinant protein. In addition, the PDE4D3 Asp-Ala mutant protein could hydrolyze cGMP. Finally, the analogous mutation in HSPDE4B1 (Asp413Asn) also allows hydrolysis of cGMP. These results show that this aspartic acid residue is important in inhibitor binding and nucleotide discrimination and suggest this residue is in the active site of PDE4.","container-title":"Molecular Pharmacology","ISSN":"0026-895X","issue":"5","journalAbbreviation":"Mol Pharmacol","language":"eng","note":"PMID: 10779384","page":"991-999","source":"PubMed","title":"Analysis of a mutation in phosphodiesterase type 4 that alters both inhibitor activity and nucleotide selectivity","volume":"57","author":[{"family":"Herman","given":"S. B."},{"family":"Juilfs","given":"D. M."},{"family":"Fauman","given":"E. B."},{"family":"Juneau","given":"P."},{"family":"Menetski","given":"J. P."}],"issued":{"date-parts":[["2000",5]]}},"label":"page"},{"id":260,"uris":["http://zotero.org/users/5647496/items/UMKX2QTZ"],"uri":["http://zotero.org/users/5647496/items/UMKX2QTZ"],"itemData":{"id":260,"type":"article-journal","container-title":"PLOS Computational Biology","DOI":"10.1371/journal.pcbi.1005657","ISSN":"1553-7358","issue":"7","language":"en","page":"e1005657","source":"Crossref","title":"β-adrenergic signaling broadly contributes to LTP induction","volume":"13","author":[{"family":"Jȩdrzejewska-Szmek","given":"Joanna"},{"family":"Luczak","given":"Vincent"},{"family":"Abel","given":"Ted"},{"family":"Blackwell","given":"Kim T"}],"editor":[{"family":"Lytton","given":"William W"}],"issued":{"date-parts":[["2017",7,24]]}},"label":"page"}],"schema":"https://github.com/citation-style-language/schema/raw/master/csl-citation.json"} </w:instrText>
            </w:r>
            <w:r w:rsidRPr="00A122F2">
              <w:rPr>
                <w:rFonts w:ascii="Times New Roman" w:hAnsi="Times New Roman" w:cs="Times New Roman"/>
                <w:color w:val="FF0000"/>
                <w:sz w:val="20"/>
                <w:szCs w:val="20"/>
              </w:rPr>
              <w:fldChar w:fldCharType="separate"/>
            </w:r>
            <w:r w:rsidR="00233E7B" w:rsidRPr="00420F6F">
              <w:rPr>
                <w:rFonts w:ascii="Times New Roman" w:hAnsi="Times New Roman" w:cs="Times New Roman"/>
                <w:color w:val="FF0000"/>
                <w:sz w:val="20"/>
                <w:szCs w:val="24"/>
              </w:rPr>
              <w:t>Herman et al., 2000; Jȩdrzejewska-Szmek et al., 201</w:t>
            </w:r>
            <w:r w:rsidR="00233E7B" w:rsidRPr="00233E7B">
              <w:rPr>
                <w:rFonts w:ascii="Times New Roman" w:hAnsi="Times New Roman" w:cs="Times New Roman"/>
                <w:sz w:val="20"/>
                <w:szCs w:val="24"/>
              </w:rPr>
              <w:t>7</w:t>
            </w:r>
            <w:r w:rsidRPr="00A122F2">
              <w:rPr>
                <w:rFonts w:ascii="Times New Roman" w:hAnsi="Times New Roman" w:cs="Times New Roman"/>
                <w:color w:val="FF0000"/>
                <w:sz w:val="20"/>
                <w:szCs w:val="20"/>
              </w:rPr>
              <w:fldChar w:fldCharType="end"/>
            </w:r>
          </w:p>
        </w:tc>
      </w:tr>
    </w:tbl>
    <w:p w14:paraId="085394CE" w14:textId="77777777" w:rsidR="00CE5F04" w:rsidRDefault="00CE5F04" w:rsidP="009663CA">
      <w:pPr>
        <w:spacing w:after="0" w:line="240" w:lineRule="auto"/>
        <w:rPr>
          <w:rFonts w:ascii="Times New Roman" w:hAnsi="Times New Roman" w:cs="Times New Roman"/>
          <w:color w:val="FF0000"/>
          <w:sz w:val="24"/>
          <w:szCs w:val="24"/>
        </w:rPr>
      </w:pPr>
    </w:p>
    <w:p w14:paraId="0980599D" w14:textId="77777777" w:rsidR="00CE5F04" w:rsidRPr="00420F6F" w:rsidRDefault="00CE5F04" w:rsidP="009663CA">
      <w:pPr>
        <w:spacing w:after="0" w:line="240" w:lineRule="auto"/>
        <w:rPr>
          <w:rFonts w:ascii="Times New Roman" w:hAnsi="Times New Roman" w:cs="Times New Roman"/>
          <w:b/>
          <w:sz w:val="24"/>
          <w:szCs w:val="24"/>
        </w:rPr>
      </w:pPr>
      <w:r w:rsidRPr="00420F6F">
        <w:rPr>
          <w:rFonts w:ascii="Times New Roman" w:hAnsi="Times New Roman" w:cs="Times New Roman"/>
          <w:b/>
          <w:sz w:val="24"/>
          <w:szCs w:val="24"/>
        </w:rPr>
        <w:t>REFERENCES</w:t>
      </w:r>
    </w:p>
    <w:p w14:paraId="1BFA870C" w14:textId="77777777" w:rsidR="00CE5F04" w:rsidRDefault="00CE5F04" w:rsidP="009663CA">
      <w:pPr>
        <w:spacing w:after="0" w:line="240" w:lineRule="auto"/>
        <w:rPr>
          <w:rFonts w:ascii="Times New Roman" w:hAnsi="Times New Roman" w:cs="Times New Roman"/>
          <w:color w:val="FF0000"/>
          <w:sz w:val="24"/>
          <w:szCs w:val="24"/>
        </w:rPr>
      </w:pPr>
    </w:p>
    <w:bookmarkStart w:id="1" w:name="_GoBack"/>
    <w:p w14:paraId="751B94DF" w14:textId="77777777" w:rsidR="00CE5F04" w:rsidRPr="00CE5F04" w:rsidRDefault="00CE5F04" w:rsidP="00CE5F04">
      <w:pPr>
        <w:pStyle w:val="Bibliography"/>
        <w:numPr>
          <w:ilvl w:val="0"/>
          <w:numId w:val="2"/>
        </w:numPr>
        <w:rPr>
          <w:rFonts w:ascii="Times New Roman" w:hAnsi="Times New Roman" w:cs="Times New Roman"/>
          <w:sz w:val="24"/>
          <w:szCs w:val="24"/>
        </w:rPr>
      </w:pPr>
      <w:r w:rsidRPr="00CE5F04">
        <w:rPr>
          <w:rFonts w:ascii="Times New Roman" w:hAnsi="Times New Roman" w:cs="Times New Roman"/>
          <w:sz w:val="24"/>
          <w:szCs w:val="24"/>
        </w:rPr>
        <w:fldChar w:fldCharType="begin"/>
      </w:r>
      <w:r w:rsidRPr="00CE5F04">
        <w:rPr>
          <w:rFonts w:ascii="Times New Roman" w:hAnsi="Times New Roman" w:cs="Times New Roman"/>
          <w:sz w:val="24"/>
          <w:szCs w:val="24"/>
        </w:rPr>
        <w:instrText xml:space="preserve"> ADDIN ZOTERO_BIBL {"uncited":[],"omitted":[],"custom":[]} CSL_BIBLIOGRAPHY </w:instrText>
      </w:r>
      <w:r w:rsidRPr="00CE5F04">
        <w:rPr>
          <w:rFonts w:ascii="Times New Roman" w:hAnsi="Times New Roman" w:cs="Times New Roman"/>
          <w:sz w:val="24"/>
          <w:szCs w:val="24"/>
        </w:rPr>
        <w:fldChar w:fldCharType="separate"/>
      </w:r>
      <w:r w:rsidRPr="00CE5F04">
        <w:rPr>
          <w:rFonts w:ascii="Times New Roman" w:hAnsi="Times New Roman" w:cs="Times New Roman"/>
          <w:sz w:val="24"/>
          <w:szCs w:val="24"/>
        </w:rPr>
        <w:t xml:space="preserve">Blackwell, K.T., Salinas, A.G., Tewatia, P., English, B., Kotaleski, J.H., Lovinger, D.M., 2019. Molecular mechanisms underlying striatal synaptic plasticity: relevance to chronic alcohol consumption and seeking. European Journal of Neuroscience 49, 768–783. </w:t>
      </w:r>
    </w:p>
    <w:p w14:paraId="3E2B3416" w14:textId="77777777" w:rsidR="00CE5F04" w:rsidRPr="00420F6F" w:rsidRDefault="00CE5F04" w:rsidP="00CE5F04">
      <w:pPr>
        <w:pStyle w:val="Bibliography"/>
        <w:numPr>
          <w:ilvl w:val="0"/>
          <w:numId w:val="2"/>
        </w:numPr>
        <w:rPr>
          <w:rFonts w:ascii="Times New Roman" w:hAnsi="Times New Roman" w:cs="Times New Roman"/>
          <w:color w:val="FF0000"/>
          <w:sz w:val="24"/>
          <w:szCs w:val="24"/>
        </w:rPr>
      </w:pPr>
      <w:r w:rsidRPr="00420F6F">
        <w:rPr>
          <w:rFonts w:ascii="Times New Roman" w:hAnsi="Times New Roman" w:cs="Times New Roman"/>
          <w:color w:val="FF0000"/>
          <w:sz w:val="24"/>
          <w:szCs w:val="24"/>
        </w:rPr>
        <w:t xml:space="preserve">Herberg, F.W., Taylor, S.S., Dostmann, W.R.G., 1996. Active Site Mutations Define the Pathway for the Cooperative Activation of cAMP-Dependent Protein Kinase. Biochemistry 35, 2934–2942. </w:t>
      </w:r>
    </w:p>
    <w:p w14:paraId="1A79FA40" w14:textId="77777777" w:rsidR="00CE5F04" w:rsidRPr="00420F6F" w:rsidRDefault="00CE5F04" w:rsidP="00CE5F04">
      <w:pPr>
        <w:pStyle w:val="Bibliography"/>
        <w:numPr>
          <w:ilvl w:val="0"/>
          <w:numId w:val="2"/>
        </w:numPr>
        <w:rPr>
          <w:rFonts w:ascii="Times New Roman" w:hAnsi="Times New Roman" w:cs="Times New Roman"/>
          <w:color w:val="FF0000"/>
          <w:sz w:val="24"/>
          <w:szCs w:val="24"/>
        </w:rPr>
      </w:pPr>
      <w:r w:rsidRPr="00420F6F">
        <w:rPr>
          <w:rFonts w:ascii="Times New Roman" w:hAnsi="Times New Roman" w:cs="Times New Roman"/>
          <w:color w:val="FF0000"/>
          <w:sz w:val="24"/>
          <w:szCs w:val="24"/>
        </w:rPr>
        <w:t>Herman, S.B., Juilfs, D.M., Fauman, E.B., Juneau, P., Menetski, J.P., 2000. Analysis of a mutation in phosphodiesterase type 4 that alters both inhibitor activity and nucleotide selectivity. Mol Pharmacol 57, 991–999.</w:t>
      </w:r>
    </w:p>
    <w:p w14:paraId="54821CF3" w14:textId="77777777" w:rsidR="00CE5F04" w:rsidRPr="00CE5F04" w:rsidRDefault="00CE5F04" w:rsidP="00CE5F04">
      <w:pPr>
        <w:pStyle w:val="Bibliography"/>
        <w:numPr>
          <w:ilvl w:val="0"/>
          <w:numId w:val="2"/>
        </w:numPr>
        <w:rPr>
          <w:rFonts w:ascii="Times New Roman" w:hAnsi="Times New Roman" w:cs="Times New Roman"/>
          <w:sz w:val="24"/>
          <w:szCs w:val="24"/>
        </w:rPr>
      </w:pPr>
      <w:r w:rsidRPr="00CE5F04">
        <w:rPr>
          <w:rFonts w:ascii="Times New Roman" w:hAnsi="Times New Roman" w:cs="Times New Roman"/>
          <w:sz w:val="24"/>
          <w:szCs w:val="24"/>
        </w:rPr>
        <w:t xml:space="preserve">Jȩdrzejewska-Szmek, J., Luczak, V., Abel, T., Blackwell, K.T., 2017. β-adrenergic signaling broadly contributes to LTP induction. PLOS Computational Biology 13, e1005657. </w:t>
      </w:r>
    </w:p>
    <w:p w14:paraId="1E9D7CDB" w14:textId="77777777" w:rsidR="00CE5F04" w:rsidRPr="00420F6F" w:rsidRDefault="00CE5F04" w:rsidP="00CE5F04">
      <w:pPr>
        <w:pStyle w:val="Bibliography"/>
        <w:numPr>
          <w:ilvl w:val="0"/>
          <w:numId w:val="2"/>
        </w:numPr>
        <w:rPr>
          <w:rFonts w:ascii="Times New Roman" w:hAnsi="Times New Roman" w:cs="Times New Roman"/>
          <w:color w:val="FF0000"/>
          <w:sz w:val="24"/>
          <w:szCs w:val="24"/>
        </w:rPr>
      </w:pPr>
      <w:r w:rsidRPr="00420F6F">
        <w:rPr>
          <w:rFonts w:ascii="Times New Roman" w:hAnsi="Times New Roman" w:cs="Times New Roman"/>
          <w:color w:val="FF0000"/>
          <w:sz w:val="24"/>
          <w:szCs w:val="24"/>
        </w:rPr>
        <w:t xml:space="preserve">Ogreid, D., Døskeland, S.O., 1982. Activation of protein kinase isoenzymes under near physiological conditions. Evidence that both types (A and B) of cAMP binding sites are involved in the activation of protein kinase by cAMP and 8-N3-cAMP. FEBS Lett 150, 161–166. </w:t>
      </w:r>
    </w:p>
    <w:p w14:paraId="1ACBAA96" w14:textId="77777777" w:rsidR="00CE5F04" w:rsidRPr="00420F6F" w:rsidRDefault="00CE5F04" w:rsidP="00CE5F04">
      <w:pPr>
        <w:pStyle w:val="Bibliography"/>
        <w:numPr>
          <w:ilvl w:val="0"/>
          <w:numId w:val="2"/>
        </w:numPr>
        <w:rPr>
          <w:rFonts w:ascii="Times New Roman" w:hAnsi="Times New Roman" w:cs="Times New Roman"/>
          <w:color w:val="FF0000"/>
          <w:sz w:val="24"/>
          <w:szCs w:val="24"/>
        </w:rPr>
      </w:pPr>
      <w:r w:rsidRPr="00420F6F">
        <w:rPr>
          <w:rFonts w:ascii="Times New Roman" w:hAnsi="Times New Roman" w:cs="Times New Roman"/>
          <w:color w:val="FF0000"/>
          <w:sz w:val="24"/>
          <w:szCs w:val="24"/>
        </w:rPr>
        <w:t xml:space="preserve">Ogreid, D., Døskeland, S.O., 1981. The kinetics of association of cyclic AMP to the two types of binding sites associated with protein kinase II from bovine myocardium. FEBS Lett 129, 287–292. </w:t>
      </w:r>
    </w:p>
    <w:p w14:paraId="125C0BD8" w14:textId="77777777" w:rsidR="00CE5F04" w:rsidRPr="00420F6F" w:rsidRDefault="00CE5F04" w:rsidP="00CE5F04">
      <w:pPr>
        <w:pStyle w:val="Bibliography"/>
        <w:numPr>
          <w:ilvl w:val="0"/>
          <w:numId w:val="2"/>
        </w:numPr>
        <w:rPr>
          <w:rFonts w:ascii="Times New Roman" w:hAnsi="Times New Roman" w:cs="Times New Roman"/>
          <w:color w:val="FF0000"/>
          <w:sz w:val="24"/>
          <w:szCs w:val="24"/>
        </w:rPr>
      </w:pPr>
      <w:r w:rsidRPr="00420F6F">
        <w:rPr>
          <w:rFonts w:ascii="Times New Roman" w:hAnsi="Times New Roman" w:cs="Times New Roman"/>
          <w:color w:val="FF0000"/>
          <w:sz w:val="24"/>
          <w:szCs w:val="24"/>
        </w:rPr>
        <w:t xml:space="preserve">Zawadzki, K.M., Taylor, S.S., 2004. cAMP-dependent Protein Kinase Regulatory Subunit Type IIβ. Journal of Biological Chemistry 279, 7029–7036. </w:t>
      </w:r>
    </w:p>
    <w:p w14:paraId="703F1EA7" w14:textId="77777777" w:rsidR="00E36573" w:rsidRDefault="00CE5F04">
      <w:r w:rsidRPr="00CE5F04">
        <w:rPr>
          <w:rFonts w:ascii="Times New Roman" w:hAnsi="Times New Roman" w:cs="Times New Roman"/>
          <w:sz w:val="24"/>
          <w:szCs w:val="24"/>
        </w:rPr>
        <w:lastRenderedPageBreak/>
        <w:fldChar w:fldCharType="end"/>
      </w:r>
      <w:bookmarkEnd w:id="1"/>
    </w:p>
    <w:sectPr w:rsidR="00E365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83307"/>
    <w:multiLevelType w:val="hybridMultilevel"/>
    <w:tmpl w:val="7E948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F623EE"/>
    <w:multiLevelType w:val="hybridMultilevel"/>
    <w:tmpl w:val="39889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3M7KwtDQxMjcyMjZU0lEKTi0uzszPAykwqgUAcD4r+SwAAAA="/>
  </w:docVars>
  <w:rsids>
    <w:rsidRoot w:val="009663CA"/>
    <w:rsid w:val="00233E7B"/>
    <w:rsid w:val="00420F6F"/>
    <w:rsid w:val="00532C28"/>
    <w:rsid w:val="0064589A"/>
    <w:rsid w:val="009663CA"/>
    <w:rsid w:val="00CE5F04"/>
    <w:rsid w:val="00DC7B6B"/>
    <w:rsid w:val="00DD250A"/>
    <w:rsid w:val="00E17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23954"/>
  <w15:chartTrackingRefBased/>
  <w15:docId w15:val="{E0BF3E3F-B6A3-4B68-AEBB-A76570A3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3CA"/>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1Light">
    <w:name w:val="List Table 1 Light"/>
    <w:basedOn w:val="TableNormal"/>
    <w:uiPriority w:val="46"/>
    <w:rsid w:val="009663C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ibliography">
    <w:name w:val="Bibliography"/>
    <w:basedOn w:val="Normal"/>
    <w:next w:val="Normal"/>
    <w:uiPriority w:val="37"/>
    <w:unhideWhenUsed/>
    <w:qFormat/>
    <w:rsid w:val="00E17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886E5CC4BEF7489BCDAC6656757335" ma:contentTypeVersion="14" ma:contentTypeDescription="Create a new document." ma:contentTypeScope="" ma:versionID="819027a72c4461076b6eeaf0b23febc4">
  <xsd:schema xmlns:xsd="http://www.w3.org/2001/XMLSchema" xmlns:xs="http://www.w3.org/2001/XMLSchema" xmlns:p="http://schemas.microsoft.com/office/2006/metadata/properties" xmlns:ns3="9de04e4d-3af9-4e40-9bcf-7b29ed3c8aaa" xmlns:ns4="3fd6aaae-06a8-49be-b5f5-849fe61ad800" targetNamespace="http://schemas.microsoft.com/office/2006/metadata/properties" ma:root="true" ma:fieldsID="0788932e6e62ed1a790e35bd487823d5" ns3:_="" ns4:_="">
    <xsd:import namespace="9de04e4d-3af9-4e40-9bcf-7b29ed3c8aaa"/>
    <xsd:import namespace="3fd6aaae-06a8-49be-b5f5-849fe61ad80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04e4d-3af9-4e40-9bcf-7b29ed3c8aa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d6aaae-06a8-49be-b5f5-849fe61ad80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719F9D-0645-46F9-ADBD-8580028AE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04e4d-3af9-4e40-9bcf-7b29ed3c8aaa"/>
    <ds:schemaRef ds:uri="3fd6aaae-06a8-49be-b5f5-849fe61ad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23ADF7-3073-4D1C-A7F8-0603D3475E56}">
  <ds:schemaRefs>
    <ds:schemaRef ds:uri="http://schemas.microsoft.com/sharepoint/v3/contenttype/forms"/>
  </ds:schemaRefs>
</ds:datastoreItem>
</file>

<file path=customXml/itemProps3.xml><?xml version="1.0" encoding="utf-8"?>
<ds:datastoreItem xmlns:ds="http://schemas.openxmlformats.org/officeDocument/2006/customXml" ds:itemID="{0592C634-8E2C-4E6E-965F-B4AEE1813A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3168</Words>
  <Characters>18058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Avrama Blackwell</dc:creator>
  <cp:keywords/>
  <dc:description/>
  <cp:lastModifiedBy>Avrama Blackwell</cp:lastModifiedBy>
  <cp:revision>5</cp:revision>
  <dcterms:created xsi:type="dcterms:W3CDTF">2021-07-14T19:16:00Z</dcterms:created>
  <dcterms:modified xsi:type="dcterms:W3CDTF">2021-07-15T14:50:00Z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id="lxZSGEP1"/&gt;&lt;style id="http://www.zotero.org/styles/elsevier-harvard" hasBibliography="1" bibliographyStyleHasBeenSet="1"/&gt;&lt;prefs&gt;&lt;pref name="fieldType" value="Field"/&gt;&lt;/prefs&gt;&lt;/data&gt;</vt:lpwstr>
  </property>
  <property fmtid="{D5CDD505-2E9C-101B-9397-08002B2CF9AE}" pid="3" name="ContentTypeId">
    <vt:lpwstr>0x0101004C886E5CC4BEF7489BCDAC6656757335</vt:lpwstr>
  </property>
</Properties>
</file>