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2D6" w:rsidRDefault="0018504F" w:rsidP="0018504F">
      <w:pPr>
        <w:ind w:left="0" w:firstLine="0"/>
      </w:pPr>
      <w:r>
        <w:t>This protoc</w:t>
      </w:r>
      <w:r w:rsidR="00B02E57">
        <w:t>ol provides a workflow and step-by-</w:t>
      </w:r>
      <w:r>
        <w:t xml:space="preserve">step instruction </w:t>
      </w:r>
      <w:r w:rsidR="009873A3">
        <w:t xml:space="preserve">for the CRISPIE method </w:t>
      </w:r>
      <w:r>
        <w:t xml:space="preserve">using </w:t>
      </w:r>
      <w:r w:rsidRPr="0018504F">
        <w:rPr>
          <w:i/>
        </w:rPr>
        <w:t>ACTB</w:t>
      </w:r>
      <w:r>
        <w:t xml:space="preserve"> </w:t>
      </w:r>
      <w:r w:rsidR="00B02E57">
        <w:t xml:space="preserve">labeling </w:t>
      </w:r>
      <w:r>
        <w:t>as an example.</w:t>
      </w:r>
    </w:p>
    <w:p w:rsidR="0018504F" w:rsidRDefault="0018504F" w:rsidP="0018504F">
      <w:pPr>
        <w:ind w:left="0" w:firstLine="0"/>
      </w:pPr>
      <w:r>
        <w:t>1) Identifying the potential targeting site.</w:t>
      </w:r>
    </w:p>
    <w:p w:rsidR="0018504F" w:rsidRDefault="0018504F" w:rsidP="008118DA">
      <w:pPr>
        <w:ind w:hanging="180"/>
      </w:pPr>
      <w:r>
        <w:t xml:space="preserve">a. </w:t>
      </w:r>
      <w:r w:rsidR="0091212F">
        <w:t>Based on</w:t>
      </w:r>
      <w:r>
        <w:t xml:space="preserve"> literature</w:t>
      </w:r>
      <w:r w:rsidR="00A30B80">
        <w:t xml:space="preserve"> review</w:t>
      </w:r>
      <w:r>
        <w:t>, EGFP-β-</w:t>
      </w:r>
      <w:proofErr w:type="spellStart"/>
      <w:r>
        <w:t>actin</w:t>
      </w:r>
      <w:proofErr w:type="spellEnd"/>
      <w:r>
        <w:t xml:space="preserve"> has been </w:t>
      </w:r>
      <w:r w:rsidR="00323B42">
        <w:t xml:space="preserve">successfully </w:t>
      </w:r>
      <w:r>
        <w:t xml:space="preserve">used </w:t>
      </w:r>
      <w:r w:rsidR="00323B42">
        <w:t>in</w:t>
      </w:r>
      <w:r>
        <w:t xml:space="preserve"> overexpression conditions, suggesting that it may be possible to label actin </w:t>
      </w:r>
      <w:r w:rsidR="00A30B80">
        <w:t xml:space="preserve">at </w:t>
      </w:r>
      <w:r>
        <w:t xml:space="preserve">its N terminus. </w:t>
      </w:r>
    </w:p>
    <w:p w:rsidR="0018504F" w:rsidRDefault="0018504F" w:rsidP="008118DA">
      <w:pPr>
        <w:ind w:hanging="180"/>
      </w:pPr>
      <w:r>
        <w:t xml:space="preserve">b. Download and examine </w:t>
      </w:r>
      <w:r w:rsidR="00323B42">
        <w:t xml:space="preserve">the </w:t>
      </w:r>
      <w:r>
        <w:t xml:space="preserve">ACTB gene </w:t>
      </w:r>
      <w:r w:rsidR="00323B42">
        <w:t xml:space="preserve">structure </w:t>
      </w:r>
      <w:r>
        <w:t xml:space="preserve">from the NCBI website </w:t>
      </w:r>
      <w:r w:rsidR="00323B42">
        <w:t>(</w:t>
      </w:r>
      <w:hyperlink r:id="rId4" w:history="1">
        <w:r w:rsidRPr="00A271EC">
          <w:rPr>
            <w:rStyle w:val="Hyperlink"/>
          </w:rPr>
          <w:t>https://www.ncbi.nlm.nih.gov/gene/</w:t>
        </w:r>
      </w:hyperlink>
      <w:r w:rsidR="00323B42" w:rsidRPr="0058797F">
        <w:rPr>
          <w:rStyle w:val="Hyperlink"/>
          <w:color w:val="auto"/>
          <w:u w:val="none"/>
        </w:rPr>
        <w:t>)</w:t>
      </w:r>
      <w:r>
        <w:t xml:space="preserve">. </w:t>
      </w:r>
    </w:p>
    <w:p w:rsidR="0018504F" w:rsidRDefault="0018504F" w:rsidP="008118DA">
      <w:pPr>
        <w:ind w:hanging="180"/>
      </w:pPr>
      <w:r>
        <w:t>c. By examining the gene structure, intron 1 appears to be an appropriate location for tagging because the start codon of ACTB is located within a few bps from the beginning of exon 2 (see also Figure 1C).</w:t>
      </w:r>
    </w:p>
    <w:p w:rsidR="0091212F" w:rsidRDefault="0091212F" w:rsidP="008118DA">
      <w:pPr>
        <w:ind w:hanging="180"/>
        <w:rPr>
          <w:rStyle w:val="Hyperlink"/>
          <w:color w:val="000000" w:themeColor="text1"/>
          <w:u w:val="none"/>
        </w:rPr>
      </w:pPr>
      <w:r>
        <w:t xml:space="preserve">d. The sequence of intron 1 is copied and pasted to the GPP </w:t>
      </w:r>
      <w:proofErr w:type="spellStart"/>
      <w:r>
        <w:t>sgRNA</w:t>
      </w:r>
      <w:proofErr w:type="spellEnd"/>
      <w:r>
        <w:t xml:space="preserve"> designer </w:t>
      </w:r>
      <w:r w:rsidR="00A30B80">
        <w:t xml:space="preserve">hosted by </w:t>
      </w:r>
      <w:r>
        <w:t>the BROAD institute</w:t>
      </w:r>
      <w:r>
        <w:rPr>
          <w:rStyle w:val="HeaderChar"/>
        </w:rPr>
        <w:t xml:space="preserve"> </w:t>
      </w:r>
      <w:r w:rsidR="00323B42">
        <w:rPr>
          <w:rStyle w:val="HeaderChar"/>
        </w:rPr>
        <w:t>(</w:t>
      </w:r>
      <w:hyperlink r:id="rId5" w:history="1">
        <w:r w:rsidRPr="00E11EA8">
          <w:rPr>
            <w:rStyle w:val="Hyperlink"/>
          </w:rPr>
          <w:t>https://portals.broadinstitute.org/gpp/public/analysis-tools/sgrna-design</w:t>
        </w:r>
      </w:hyperlink>
      <w:r w:rsidR="00323B42">
        <w:rPr>
          <w:rStyle w:val="Hyperlink"/>
          <w:color w:val="000000" w:themeColor="text1"/>
          <w:u w:val="none"/>
        </w:rPr>
        <w:t xml:space="preserve">) </w:t>
      </w:r>
      <w:r>
        <w:rPr>
          <w:rStyle w:val="Hyperlink"/>
          <w:color w:val="000000" w:themeColor="text1"/>
          <w:u w:val="none"/>
        </w:rPr>
        <w:t xml:space="preserve">to identify candidate </w:t>
      </w:r>
      <w:proofErr w:type="spellStart"/>
      <w:r>
        <w:rPr>
          <w:rStyle w:val="Hyperlink"/>
          <w:color w:val="000000" w:themeColor="text1"/>
          <w:u w:val="none"/>
        </w:rPr>
        <w:t>sgRNA</w:t>
      </w:r>
      <w:proofErr w:type="spellEnd"/>
      <w:r>
        <w:rPr>
          <w:rStyle w:val="Hyperlink"/>
          <w:color w:val="000000" w:themeColor="text1"/>
          <w:u w:val="none"/>
        </w:rPr>
        <w:t xml:space="preserve"> targeting sites. We suggest testing at least 3 sites, including one near the upstream exon and one near the downstream exon (within 500 </w:t>
      </w:r>
      <w:proofErr w:type="spellStart"/>
      <w:r>
        <w:rPr>
          <w:rStyle w:val="Hyperlink"/>
          <w:color w:val="000000" w:themeColor="text1"/>
          <w:u w:val="none"/>
        </w:rPr>
        <w:t>bp</w:t>
      </w:r>
      <w:proofErr w:type="spellEnd"/>
      <w:r>
        <w:rPr>
          <w:rStyle w:val="Hyperlink"/>
          <w:color w:val="000000" w:themeColor="text1"/>
          <w:u w:val="none"/>
        </w:rPr>
        <w:t>), as their efficiency may var</w:t>
      </w:r>
      <w:r w:rsidR="00323B42">
        <w:rPr>
          <w:rStyle w:val="Hyperlink"/>
          <w:color w:val="000000" w:themeColor="text1"/>
          <w:u w:val="none"/>
        </w:rPr>
        <w:t>y</w:t>
      </w:r>
      <w:r>
        <w:rPr>
          <w:rStyle w:val="Hyperlink"/>
          <w:color w:val="000000" w:themeColor="text1"/>
          <w:u w:val="none"/>
        </w:rPr>
        <w:t xml:space="preserve"> (Figure 3B). At the same time, try to avoid sites that are within 100 </w:t>
      </w:r>
      <w:proofErr w:type="spellStart"/>
      <w:r>
        <w:rPr>
          <w:rStyle w:val="Hyperlink"/>
          <w:color w:val="000000" w:themeColor="text1"/>
          <w:u w:val="none"/>
        </w:rPr>
        <w:t>bp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r w:rsidR="00323B42">
        <w:rPr>
          <w:rStyle w:val="Hyperlink"/>
          <w:color w:val="000000" w:themeColor="text1"/>
          <w:u w:val="none"/>
        </w:rPr>
        <w:t xml:space="preserve">of </w:t>
      </w:r>
      <w:r>
        <w:rPr>
          <w:rStyle w:val="Hyperlink"/>
          <w:color w:val="000000" w:themeColor="text1"/>
          <w:u w:val="none"/>
        </w:rPr>
        <w:t xml:space="preserve">intron-exon junctions </w:t>
      </w:r>
      <w:r w:rsidR="00B02E57">
        <w:rPr>
          <w:rStyle w:val="Hyperlink"/>
          <w:color w:val="000000" w:themeColor="text1"/>
          <w:u w:val="none"/>
        </w:rPr>
        <w:t>because</w:t>
      </w:r>
      <w:r>
        <w:rPr>
          <w:rStyle w:val="Hyperlink"/>
          <w:color w:val="000000" w:themeColor="text1"/>
          <w:u w:val="none"/>
        </w:rPr>
        <w:t xml:space="preserve"> they may potentially affect splicing.</w:t>
      </w:r>
    </w:p>
    <w:p w:rsidR="00B30E41" w:rsidRDefault="00B30E41" w:rsidP="0018504F">
      <w:pPr>
        <w:ind w:left="0" w:firstLine="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2) Making</w:t>
      </w:r>
      <w:r w:rsidR="0083298F">
        <w:rPr>
          <w:rStyle w:val="Hyperlink"/>
          <w:color w:val="000000" w:themeColor="text1"/>
          <w:u w:val="none"/>
        </w:rPr>
        <w:t>/identifying</w:t>
      </w:r>
      <w:r>
        <w:rPr>
          <w:rStyle w:val="Hyperlink"/>
          <w:color w:val="000000" w:themeColor="text1"/>
          <w:u w:val="none"/>
        </w:rPr>
        <w:t xml:space="preserve"> the construct</w:t>
      </w:r>
      <w:r w:rsidR="0083298F">
        <w:rPr>
          <w:rStyle w:val="Hyperlink"/>
          <w:color w:val="000000" w:themeColor="text1"/>
          <w:u w:val="none"/>
        </w:rPr>
        <w:t>s</w:t>
      </w:r>
    </w:p>
    <w:p w:rsidR="00B30E41" w:rsidRDefault="00B30E41" w:rsidP="008118DA">
      <w:pPr>
        <w:ind w:hanging="18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a</w:t>
      </w:r>
      <w:r w:rsidR="0091212F">
        <w:rPr>
          <w:rStyle w:val="Hyperlink"/>
          <w:color w:val="000000" w:themeColor="text1"/>
          <w:u w:val="none"/>
        </w:rPr>
        <w:t xml:space="preserve">. Order both forward and inverse </w:t>
      </w:r>
      <w:proofErr w:type="spellStart"/>
      <w:r w:rsidR="0091212F">
        <w:rPr>
          <w:rStyle w:val="Hyperlink"/>
          <w:color w:val="000000" w:themeColor="text1"/>
          <w:u w:val="none"/>
        </w:rPr>
        <w:t>oligos</w:t>
      </w:r>
      <w:proofErr w:type="spellEnd"/>
      <w:r w:rsidR="0091212F">
        <w:rPr>
          <w:rStyle w:val="Hyperlink"/>
          <w:color w:val="000000" w:themeColor="text1"/>
          <w:u w:val="none"/>
        </w:rPr>
        <w:t xml:space="preserve"> containing the </w:t>
      </w:r>
      <w:r>
        <w:rPr>
          <w:rStyle w:val="Hyperlink"/>
          <w:color w:val="000000" w:themeColor="text1"/>
          <w:u w:val="none"/>
        </w:rPr>
        <w:t xml:space="preserve">target-specific </w:t>
      </w:r>
      <w:proofErr w:type="spellStart"/>
      <w:r w:rsidR="0091212F">
        <w:rPr>
          <w:rStyle w:val="Hyperlink"/>
          <w:color w:val="000000" w:themeColor="text1"/>
          <w:u w:val="none"/>
        </w:rPr>
        <w:t>sgRNA</w:t>
      </w:r>
      <w:proofErr w:type="spellEnd"/>
      <w:r w:rsidR="0091212F">
        <w:rPr>
          <w:rStyle w:val="Hyperlink"/>
          <w:color w:val="000000" w:themeColor="text1"/>
          <w:u w:val="none"/>
        </w:rPr>
        <w:t xml:space="preserve"> sequence. </w:t>
      </w:r>
      <w:r>
        <w:rPr>
          <w:rStyle w:val="Hyperlink"/>
          <w:color w:val="000000" w:themeColor="text1"/>
          <w:u w:val="none"/>
        </w:rPr>
        <w:t xml:space="preserve">For example, for Figure 1, the forward primer </w:t>
      </w:r>
      <w:r w:rsidRPr="0058797F">
        <w:rPr>
          <w:rStyle w:val="Hyperlink"/>
          <w:caps/>
          <w:color w:val="7030A0"/>
          <w:u w:val="none"/>
        </w:rPr>
        <w:t>CACC</w:t>
      </w:r>
      <w:r w:rsidRPr="0058797F">
        <w:rPr>
          <w:rStyle w:val="Hyperlink"/>
          <w:caps/>
          <w:color w:val="0070C0"/>
          <w:u w:val="none"/>
        </w:rPr>
        <w:t>G</w:t>
      </w:r>
      <w:r w:rsidRPr="00B30E41">
        <w:rPr>
          <w:rStyle w:val="Hyperlink"/>
          <w:caps/>
          <w:color w:val="000000" w:themeColor="text1"/>
        </w:rPr>
        <w:t>aaaaggcaaacactggtcgg</w:t>
      </w:r>
      <w:r>
        <w:rPr>
          <w:rStyle w:val="Hyperlink"/>
          <w:color w:val="000000" w:themeColor="text1"/>
          <w:u w:val="none"/>
        </w:rPr>
        <w:t xml:space="preserve"> and reverse primer </w:t>
      </w:r>
      <w:r w:rsidRPr="0058797F">
        <w:rPr>
          <w:rStyle w:val="Hyperlink"/>
          <w:caps/>
          <w:color w:val="7030A0"/>
          <w:u w:val="none"/>
        </w:rPr>
        <w:t>AAAC</w:t>
      </w:r>
      <w:r w:rsidRPr="00B30E41">
        <w:rPr>
          <w:rStyle w:val="Hyperlink"/>
          <w:caps/>
          <w:color w:val="000000" w:themeColor="text1"/>
        </w:rPr>
        <w:t>ccgaccagtgtttgcctttt</w:t>
      </w:r>
      <w:r w:rsidRPr="0058797F">
        <w:rPr>
          <w:rStyle w:val="Hyperlink"/>
          <w:caps/>
          <w:color w:val="0070C0"/>
          <w:u w:val="none"/>
        </w:rPr>
        <w:t>C</w:t>
      </w:r>
      <w:r>
        <w:rPr>
          <w:rStyle w:val="Hyperlink"/>
          <w:color w:val="000000" w:themeColor="text1"/>
          <w:u w:val="none"/>
        </w:rPr>
        <w:t xml:space="preserve"> </w:t>
      </w:r>
      <w:r w:rsidR="00B02E57">
        <w:rPr>
          <w:rStyle w:val="Hyperlink"/>
          <w:color w:val="000000" w:themeColor="text1"/>
          <w:u w:val="none"/>
        </w:rPr>
        <w:t>were</w:t>
      </w:r>
      <w:r>
        <w:rPr>
          <w:rStyle w:val="Hyperlink"/>
          <w:color w:val="000000" w:themeColor="text1"/>
          <w:u w:val="none"/>
        </w:rPr>
        <w:t xml:space="preserve"> ordered. </w:t>
      </w:r>
      <w:r w:rsidR="00323B42">
        <w:rPr>
          <w:rStyle w:val="Hyperlink"/>
          <w:color w:val="000000" w:themeColor="text1"/>
          <w:u w:val="none"/>
        </w:rPr>
        <w:t>The t</w:t>
      </w:r>
      <w:r>
        <w:rPr>
          <w:rStyle w:val="Hyperlink"/>
          <w:color w:val="000000" w:themeColor="text1"/>
          <w:u w:val="none"/>
        </w:rPr>
        <w:t>arget</w:t>
      </w:r>
      <w:r w:rsidR="00323B42">
        <w:rPr>
          <w:rStyle w:val="Hyperlink"/>
          <w:color w:val="000000" w:themeColor="text1"/>
          <w:u w:val="none"/>
        </w:rPr>
        <w:t>-</w:t>
      </w:r>
      <w:r>
        <w:rPr>
          <w:rStyle w:val="Hyperlink"/>
          <w:color w:val="000000" w:themeColor="text1"/>
          <w:u w:val="none"/>
        </w:rPr>
        <w:t>specific sequence is underlined. Other sequences are ligation</w:t>
      </w:r>
      <w:r w:rsidR="00323B42">
        <w:rPr>
          <w:rStyle w:val="Hyperlink"/>
          <w:color w:val="000000" w:themeColor="text1"/>
          <w:u w:val="none"/>
        </w:rPr>
        <w:t>-</w:t>
      </w:r>
      <w:r>
        <w:rPr>
          <w:rStyle w:val="Hyperlink"/>
          <w:color w:val="000000" w:themeColor="text1"/>
          <w:u w:val="none"/>
        </w:rPr>
        <w:t xml:space="preserve">compatible overhangs </w:t>
      </w:r>
      <w:r w:rsidR="00323B42">
        <w:rPr>
          <w:rStyle w:val="Hyperlink"/>
          <w:color w:val="000000" w:themeColor="text1"/>
          <w:u w:val="none"/>
        </w:rPr>
        <w:t xml:space="preserve">(purple) </w:t>
      </w:r>
      <w:r>
        <w:rPr>
          <w:rStyle w:val="Hyperlink"/>
          <w:color w:val="000000" w:themeColor="text1"/>
          <w:u w:val="none"/>
        </w:rPr>
        <w:t xml:space="preserve">and a G </w:t>
      </w:r>
      <w:r w:rsidR="00323B42">
        <w:rPr>
          <w:rStyle w:val="Hyperlink"/>
          <w:color w:val="000000" w:themeColor="text1"/>
          <w:u w:val="none"/>
        </w:rPr>
        <w:t xml:space="preserve">(blue) </w:t>
      </w:r>
      <w:r>
        <w:rPr>
          <w:rStyle w:val="Hyperlink"/>
          <w:color w:val="000000" w:themeColor="text1"/>
          <w:u w:val="none"/>
        </w:rPr>
        <w:t xml:space="preserve">that is required for RNA transcription </w:t>
      </w:r>
      <w:r w:rsidR="00B02E57">
        <w:rPr>
          <w:rStyle w:val="Hyperlink"/>
          <w:color w:val="000000" w:themeColor="text1"/>
          <w:u w:val="none"/>
        </w:rPr>
        <w:t xml:space="preserve">initiation </w:t>
      </w:r>
      <w:r>
        <w:rPr>
          <w:rStyle w:val="Hyperlink"/>
          <w:color w:val="000000" w:themeColor="text1"/>
          <w:u w:val="none"/>
        </w:rPr>
        <w:t>using the U6 promotor.</w:t>
      </w:r>
    </w:p>
    <w:p w:rsidR="0091212F" w:rsidRDefault="00B30E41" w:rsidP="008118DA">
      <w:pPr>
        <w:ind w:hanging="18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b. </w:t>
      </w:r>
      <w:r w:rsidR="0091212F">
        <w:rPr>
          <w:rStyle w:val="Hyperlink"/>
          <w:color w:val="000000" w:themeColor="text1"/>
          <w:u w:val="none"/>
        </w:rPr>
        <w:t xml:space="preserve">Anneal and ligate into pX330 </w:t>
      </w:r>
      <w:r>
        <w:rPr>
          <w:rStyle w:val="Hyperlink"/>
          <w:color w:val="000000" w:themeColor="text1"/>
          <w:u w:val="none"/>
        </w:rPr>
        <w:t>(</w:t>
      </w:r>
      <w:hyperlink r:id="rId6" w:history="1">
        <w:r w:rsidRPr="00A271EC">
          <w:rPr>
            <w:rStyle w:val="Hyperlink"/>
          </w:rPr>
          <w:t>https://www.addgene.org/42230/</w:t>
        </w:r>
      </w:hyperlink>
      <w:r>
        <w:rPr>
          <w:rStyle w:val="Hyperlink"/>
          <w:color w:val="000000" w:themeColor="text1"/>
          <w:u w:val="none"/>
        </w:rPr>
        <w:t xml:space="preserve">) </w:t>
      </w:r>
      <w:r w:rsidR="0091212F">
        <w:rPr>
          <w:rStyle w:val="Hyperlink"/>
          <w:color w:val="000000" w:themeColor="text1"/>
          <w:u w:val="none"/>
        </w:rPr>
        <w:t xml:space="preserve">cut by the restriction enzyme </w:t>
      </w:r>
      <w:proofErr w:type="spellStart"/>
      <w:r w:rsidR="0091212F">
        <w:rPr>
          <w:rStyle w:val="Hyperlink"/>
          <w:color w:val="000000" w:themeColor="text1"/>
          <w:u w:val="none"/>
        </w:rPr>
        <w:t>BbsI</w:t>
      </w:r>
      <w:proofErr w:type="spellEnd"/>
      <w:r w:rsidR="0091212F">
        <w:rPr>
          <w:rStyle w:val="Hyperlink"/>
          <w:color w:val="000000" w:themeColor="text1"/>
          <w:u w:val="none"/>
        </w:rPr>
        <w:t xml:space="preserve">-HF. </w:t>
      </w:r>
      <w:r>
        <w:rPr>
          <w:rStyle w:val="Hyperlink"/>
          <w:color w:val="000000" w:themeColor="text1"/>
          <w:u w:val="none"/>
        </w:rPr>
        <w:t xml:space="preserve">This vector also expresses SpCas9 in addition to the </w:t>
      </w:r>
      <w:proofErr w:type="spellStart"/>
      <w:r>
        <w:rPr>
          <w:rStyle w:val="Hyperlink"/>
          <w:color w:val="000000" w:themeColor="text1"/>
          <w:u w:val="none"/>
        </w:rPr>
        <w:t>sgRNA</w:t>
      </w:r>
      <w:proofErr w:type="spellEnd"/>
      <w:r>
        <w:rPr>
          <w:rStyle w:val="Hyperlink"/>
          <w:color w:val="000000" w:themeColor="text1"/>
          <w:u w:val="none"/>
        </w:rPr>
        <w:t xml:space="preserve">. </w:t>
      </w:r>
    </w:p>
    <w:p w:rsidR="00B30E41" w:rsidRDefault="00B30E41" w:rsidP="008118DA">
      <w:pPr>
        <w:ind w:hanging="18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c. For initial testing, identify a </w:t>
      </w:r>
      <w:r w:rsidR="00B44B4E">
        <w:rPr>
          <w:rStyle w:val="Hyperlink"/>
          <w:color w:val="000000" w:themeColor="text1"/>
          <w:u w:val="none"/>
        </w:rPr>
        <w:t>generic</w:t>
      </w:r>
      <w:r>
        <w:rPr>
          <w:rStyle w:val="Hyperlink"/>
          <w:color w:val="000000" w:themeColor="text1"/>
          <w:u w:val="none"/>
        </w:rPr>
        <w:t xml:space="preserve"> donor </w:t>
      </w:r>
      <w:r w:rsidR="00B44B4E">
        <w:rPr>
          <w:rStyle w:val="Hyperlink"/>
          <w:color w:val="000000" w:themeColor="text1"/>
          <w:u w:val="none"/>
        </w:rPr>
        <w:t>vector</w:t>
      </w:r>
      <w:r w:rsidR="0083298F">
        <w:rPr>
          <w:rStyle w:val="Hyperlink"/>
          <w:color w:val="000000" w:themeColor="text1"/>
          <w:u w:val="none"/>
        </w:rPr>
        <w:t xml:space="preserve"> of the appropriate </w:t>
      </w:r>
      <w:r w:rsidR="00A30B80">
        <w:rPr>
          <w:rStyle w:val="Hyperlink"/>
          <w:color w:val="000000" w:themeColor="text1"/>
          <w:u w:val="none"/>
        </w:rPr>
        <w:t>reading frame (</w:t>
      </w:r>
      <w:r w:rsidR="0083298F">
        <w:rPr>
          <w:rStyle w:val="Hyperlink"/>
          <w:color w:val="000000" w:themeColor="text1"/>
          <w:u w:val="none"/>
        </w:rPr>
        <w:t>phase</w:t>
      </w:r>
      <w:r w:rsidR="00A30B80">
        <w:rPr>
          <w:rStyle w:val="Hyperlink"/>
          <w:color w:val="000000" w:themeColor="text1"/>
          <w:u w:val="none"/>
        </w:rPr>
        <w:t>)</w:t>
      </w:r>
      <w:r w:rsidR="0083298F">
        <w:rPr>
          <w:rStyle w:val="Hyperlink"/>
          <w:color w:val="000000" w:themeColor="text1"/>
          <w:u w:val="none"/>
        </w:rPr>
        <w:t xml:space="preserve"> that express</w:t>
      </w:r>
      <w:r w:rsidR="00B02E57">
        <w:rPr>
          <w:rStyle w:val="Hyperlink"/>
          <w:color w:val="000000" w:themeColor="text1"/>
          <w:u w:val="none"/>
        </w:rPr>
        <w:t>es</w:t>
      </w:r>
      <w:r w:rsidR="0083298F">
        <w:rPr>
          <w:rStyle w:val="Hyperlink"/>
          <w:color w:val="000000" w:themeColor="text1"/>
          <w:u w:val="none"/>
        </w:rPr>
        <w:t xml:space="preserve"> the appropriate FP. </w:t>
      </w:r>
      <w:r w:rsidR="00B44B4E">
        <w:rPr>
          <w:rStyle w:val="Hyperlink"/>
          <w:color w:val="000000" w:themeColor="text1"/>
          <w:u w:val="none"/>
        </w:rPr>
        <w:t xml:space="preserve">The generic donor vector also expresses the </w:t>
      </w:r>
      <w:proofErr w:type="spellStart"/>
      <w:r w:rsidR="00B44B4E">
        <w:rPr>
          <w:rStyle w:val="Hyperlink"/>
          <w:color w:val="000000" w:themeColor="text1"/>
          <w:u w:val="none"/>
        </w:rPr>
        <w:t>sgRNA</w:t>
      </w:r>
      <w:proofErr w:type="spellEnd"/>
      <w:r w:rsidR="00B44B4E">
        <w:rPr>
          <w:rStyle w:val="Hyperlink"/>
          <w:color w:val="000000" w:themeColor="text1"/>
          <w:u w:val="none"/>
        </w:rPr>
        <w:t xml:space="preserve"> needed to excise the donor sequence (e.g., Figure 1–figure supplement 3B6 – 3B10). </w:t>
      </w:r>
      <w:r w:rsidR="0083298F">
        <w:rPr>
          <w:rStyle w:val="Hyperlink"/>
          <w:color w:val="000000" w:themeColor="text1"/>
          <w:u w:val="none"/>
        </w:rPr>
        <w:t xml:space="preserve">For example, intron 1 of </w:t>
      </w:r>
      <w:r w:rsidR="0083298F" w:rsidRPr="0083298F">
        <w:rPr>
          <w:rStyle w:val="Hyperlink"/>
          <w:i/>
          <w:color w:val="000000" w:themeColor="text1"/>
          <w:u w:val="none"/>
        </w:rPr>
        <w:t>ACTB</w:t>
      </w:r>
      <w:r w:rsidR="0083298F">
        <w:rPr>
          <w:rStyle w:val="Hyperlink"/>
          <w:color w:val="000000" w:themeColor="text1"/>
          <w:u w:val="none"/>
        </w:rPr>
        <w:t xml:space="preserve"> is phase 0. This means that the first three nucleotides of the next exon (exon 2) will code an amino acid residue. B7 in Figure 1–figure supplement 3B </w:t>
      </w:r>
      <w:r w:rsidR="00B02E57">
        <w:rPr>
          <w:rStyle w:val="Hyperlink"/>
          <w:color w:val="000000" w:themeColor="text1"/>
          <w:u w:val="none"/>
        </w:rPr>
        <w:t>can</w:t>
      </w:r>
      <w:r w:rsidR="0083298F">
        <w:rPr>
          <w:rStyle w:val="Hyperlink"/>
          <w:color w:val="000000" w:themeColor="text1"/>
          <w:u w:val="none"/>
        </w:rPr>
        <w:t xml:space="preserve"> therefore be used to tag </w:t>
      </w:r>
      <w:bookmarkStart w:id="0" w:name="_GoBack"/>
      <w:bookmarkEnd w:id="0"/>
      <w:r w:rsidR="0083298F" w:rsidRPr="0083298F">
        <w:rPr>
          <w:rStyle w:val="Hyperlink"/>
          <w:i/>
          <w:color w:val="000000" w:themeColor="text1"/>
          <w:u w:val="none"/>
        </w:rPr>
        <w:t>ACTB</w:t>
      </w:r>
      <w:r w:rsidR="0083298F">
        <w:rPr>
          <w:rStyle w:val="Hyperlink"/>
          <w:color w:val="000000" w:themeColor="text1"/>
          <w:u w:val="none"/>
        </w:rPr>
        <w:t xml:space="preserve"> with </w:t>
      </w:r>
      <w:proofErr w:type="spellStart"/>
      <w:r w:rsidR="0083298F">
        <w:rPr>
          <w:rStyle w:val="Hyperlink"/>
          <w:color w:val="000000" w:themeColor="text1"/>
          <w:u w:val="none"/>
        </w:rPr>
        <w:t>mEGFP</w:t>
      </w:r>
      <w:proofErr w:type="spellEnd"/>
      <w:r w:rsidR="0083298F">
        <w:rPr>
          <w:rStyle w:val="Hyperlink"/>
          <w:color w:val="000000" w:themeColor="text1"/>
          <w:u w:val="none"/>
        </w:rPr>
        <w:t>.</w:t>
      </w:r>
    </w:p>
    <w:p w:rsidR="0083298F" w:rsidRDefault="0083298F" w:rsidP="008118DA">
      <w:pPr>
        <w:ind w:hanging="18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d. (Optional) For higher labeling efficiency, </w:t>
      </w:r>
      <w:r w:rsidR="00B44B4E">
        <w:rPr>
          <w:rStyle w:val="Hyperlink"/>
          <w:color w:val="000000" w:themeColor="text1"/>
          <w:u w:val="none"/>
        </w:rPr>
        <w:t xml:space="preserve">one may consider </w:t>
      </w:r>
      <w:r w:rsidR="008118DA">
        <w:rPr>
          <w:rStyle w:val="Hyperlink"/>
          <w:color w:val="000000" w:themeColor="text1"/>
          <w:u w:val="none"/>
        </w:rPr>
        <w:t xml:space="preserve">constructing </w:t>
      </w:r>
      <w:r w:rsidR="00B44B4E">
        <w:rPr>
          <w:rStyle w:val="Hyperlink"/>
          <w:color w:val="000000" w:themeColor="text1"/>
          <w:u w:val="none"/>
        </w:rPr>
        <w:t xml:space="preserve">a </w:t>
      </w:r>
      <w:r w:rsidR="003609CC">
        <w:rPr>
          <w:rStyle w:val="Hyperlink"/>
          <w:color w:val="000000" w:themeColor="text1"/>
          <w:u w:val="none"/>
        </w:rPr>
        <w:t>target</w:t>
      </w:r>
      <w:r w:rsidR="00B44B4E">
        <w:rPr>
          <w:rStyle w:val="Hyperlink"/>
          <w:color w:val="000000" w:themeColor="text1"/>
          <w:u w:val="none"/>
        </w:rPr>
        <w:t>-specific donor similar to</w:t>
      </w:r>
      <w:r w:rsidR="00B02E57">
        <w:rPr>
          <w:rStyle w:val="Hyperlink"/>
          <w:color w:val="000000" w:themeColor="text1"/>
          <w:u w:val="none"/>
        </w:rPr>
        <w:t xml:space="preserve"> that in</w:t>
      </w:r>
      <w:r w:rsidR="00B44B4E">
        <w:rPr>
          <w:rStyle w:val="Hyperlink"/>
          <w:color w:val="000000" w:themeColor="text1"/>
          <w:u w:val="none"/>
        </w:rPr>
        <w:t xml:space="preserve"> Figure 1–figure supplement 3B1. This can be done by order</w:t>
      </w:r>
      <w:r w:rsidR="008118DA">
        <w:rPr>
          <w:rStyle w:val="Hyperlink"/>
          <w:color w:val="000000" w:themeColor="text1"/>
          <w:u w:val="none"/>
        </w:rPr>
        <w:t>ing</w:t>
      </w:r>
      <w:r w:rsidR="00B44B4E">
        <w:rPr>
          <w:rStyle w:val="Hyperlink"/>
          <w:color w:val="000000" w:themeColor="text1"/>
          <w:u w:val="none"/>
        </w:rPr>
        <w:t xml:space="preserve"> the appropriate </w:t>
      </w:r>
      <w:proofErr w:type="spellStart"/>
      <w:r w:rsidR="00B44B4E">
        <w:rPr>
          <w:rStyle w:val="Hyperlink"/>
          <w:color w:val="000000" w:themeColor="text1"/>
          <w:u w:val="none"/>
        </w:rPr>
        <w:t>oligos</w:t>
      </w:r>
      <w:proofErr w:type="spellEnd"/>
      <w:r w:rsidR="00B44B4E">
        <w:rPr>
          <w:rStyle w:val="Hyperlink"/>
          <w:color w:val="000000" w:themeColor="text1"/>
          <w:u w:val="none"/>
        </w:rPr>
        <w:t xml:space="preserve"> containing the </w:t>
      </w:r>
      <w:proofErr w:type="spellStart"/>
      <w:r w:rsidR="00B44B4E">
        <w:rPr>
          <w:rStyle w:val="Hyperlink"/>
          <w:color w:val="000000" w:themeColor="text1"/>
          <w:u w:val="none"/>
        </w:rPr>
        <w:t>sgRNA</w:t>
      </w:r>
      <w:proofErr w:type="spellEnd"/>
      <w:r w:rsidR="00B44B4E">
        <w:rPr>
          <w:rStyle w:val="Hyperlink"/>
          <w:color w:val="000000" w:themeColor="text1"/>
          <w:u w:val="none"/>
        </w:rPr>
        <w:t xml:space="preserve"> targeting sequence and the appropriate restriction enzyme sequences</w:t>
      </w:r>
      <w:r w:rsidR="008118DA">
        <w:rPr>
          <w:rStyle w:val="Hyperlink"/>
          <w:color w:val="000000" w:themeColor="text1"/>
          <w:u w:val="none"/>
        </w:rPr>
        <w:t>, and using them</w:t>
      </w:r>
      <w:r w:rsidR="00B44B4E">
        <w:rPr>
          <w:rStyle w:val="Hyperlink"/>
          <w:color w:val="000000" w:themeColor="text1"/>
          <w:u w:val="none"/>
        </w:rPr>
        <w:t xml:space="preserve"> to replace the previous </w:t>
      </w:r>
      <w:proofErr w:type="spellStart"/>
      <w:r w:rsidR="00B44B4E">
        <w:rPr>
          <w:rStyle w:val="Hyperlink"/>
          <w:color w:val="000000" w:themeColor="text1"/>
          <w:u w:val="none"/>
        </w:rPr>
        <w:t>sgRNA</w:t>
      </w:r>
      <w:proofErr w:type="spellEnd"/>
      <w:r w:rsidR="00B44B4E">
        <w:rPr>
          <w:rStyle w:val="Hyperlink"/>
          <w:color w:val="000000" w:themeColor="text1"/>
          <w:u w:val="none"/>
        </w:rPr>
        <w:t xml:space="preserve"> targeting </w:t>
      </w:r>
      <w:r w:rsidR="008118DA">
        <w:rPr>
          <w:rStyle w:val="Hyperlink"/>
          <w:color w:val="000000" w:themeColor="text1"/>
          <w:u w:val="none"/>
        </w:rPr>
        <w:t>sequence in</w:t>
      </w:r>
      <w:r w:rsidR="00B44B4E">
        <w:rPr>
          <w:rStyle w:val="Hyperlink"/>
          <w:color w:val="000000" w:themeColor="text1"/>
          <w:u w:val="none"/>
        </w:rPr>
        <w:t xml:space="preserve"> an existing donor vector</w:t>
      </w:r>
      <w:r w:rsidR="008118DA">
        <w:rPr>
          <w:rStyle w:val="Hyperlink"/>
          <w:color w:val="000000" w:themeColor="text1"/>
          <w:u w:val="none"/>
        </w:rPr>
        <w:t xml:space="preserve">. All plasmids in this manuscript </w:t>
      </w:r>
      <w:r w:rsidR="00B44B4E">
        <w:rPr>
          <w:rStyle w:val="Hyperlink"/>
          <w:color w:val="000000" w:themeColor="text1"/>
          <w:u w:val="none"/>
        </w:rPr>
        <w:t xml:space="preserve">will be made available at Addgene. The </w:t>
      </w:r>
      <w:proofErr w:type="spellStart"/>
      <w:r w:rsidR="00B44B4E">
        <w:rPr>
          <w:rStyle w:val="Hyperlink"/>
          <w:color w:val="000000" w:themeColor="text1"/>
          <w:u w:val="none"/>
        </w:rPr>
        <w:t>sgRNA</w:t>
      </w:r>
      <w:proofErr w:type="spellEnd"/>
      <w:r w:rsidR="00B44B4E">
        <w:rPr>
          <w:rStyle w:val="Hyperlink"/>
          <w:color w:val="000000" w:themeColor="text1"/>
          <w:u w:val="none"/>
        </w:rPr>
        <w:t xml:space="preserve"> targeting sequence should be in the reverse orientation compared to the </w:t>
      </w:r>
      <w:r w:rsidR="00A30B80">
        <w:rPr>
          <w:rStyle w:val="Hyperlink"/>
          <w:color w:val="000000" w:themeColor="text1"/>
          <w:u w:val="none"/>
        </w:rPr>
        <w:t xml:space="preserve">genomic </w:t>
      </w:r>
      <w:r w:rsidR="00B44B4E">
        <w:rPr>
          <w:rStyle w:val="Hyperlink"/>
          <w:color w:val="000000" w:themeColor="text1"/>
          <w:u w:val="none"/>
        </w:rPr>
        <w:t xml:space="preserve">sequence. This allows the donor sequence to be preferentially inserted in the correct orientation. We empirically find </w:t>
      </w:r>
      <w:r w:rsidR="0074768B">
        <w:rPr>
          <w:rStyle w:val="Hyperlink"/>
          <w:color w:val="000000" w:themeColor="text1"/>
          <w:u w:val="none"/>
        </w:rPr>
        <w:t xml:space="preserve">that </w:t>
      </w:r>
      <w:r w:rsidR="003609CC">
        <w:rPr>
          <w:rStyle w:val="Hyperlink"/>
          <w:color w:val="000000" w:themeColor="text1"/>
          <w:u w:val="none"/>
        </w:rPr>
        <w:t>target</w:t>
      </w:r>
      <w:r w:rsidR="0074768B">
        <w:rPr>
          <w:rStyle w:val="Hyperlink"/>
          <w:color w:val="000000" w:themeColor="text1"/>
          <w:u w:val="none"/>
        </w:rPr>
        <w:t>-specific donors give a</w:t>
      </w:r>
      <w:r w:rsidR="00B44B4E">
        <w:rPr>
          <w:rStyle w:val="Hyperlink"/>
          <w:color w:val="000000" w:themeColor="text1"/>
          <w:u w:val="none"/>
        </w:rPr>
        <w:t xml:space="preserve"> 50 – 100% higher labeling efficiency </w:t>
      </w:r>
      <w:r w:rsidR="00A30B80">
        <w:rPr>
          <w:rStyle w:val="Hyperlink"/>
          <w:color w:val="000000" w:themeColor="text1"/>
          <w:u w:val="none"/>
        </w:rPr>
        <w:t xml:space="preserve">compared to </w:t>
      </w:r>
      <w:r w:rsidR="00B44B4E">
        <w:rPr>
          <w:rStyle w:val="Hyperlink"/>
          <w:color w:val="000000" w:themeColor="text1"/>
          <w:u w:val="none"/>
        </w:rPr>
        <w:t xml:space="preserve">generic donors. </w:t>
      </w:r>
    </w:p>
    <w:p w:rsidR="00B44B4E" w:rsidRDefault="000C5A6A" w:rsidP="00B44B4E">
      <w:pPr>
        <w:ind w:left="0" w:firstLine="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lastRenderedPageBreak/>
        <w:t>3) Label</w:t>
      </w:r>
      <w:r w:rsidR="00A30B80">
        <w:rPr>
          <w:rStyle w:val="Hyperlink"/>
          <w:color w:val="000000" w:themeColor="text1"/>
          <w:u w:val="none"/>
        </w:rPr>
        <w:t>ing</w:t>
      </w:r>
      <w:r>
        <w:rPr>
          <w:rStyle w:val="Hyperlink"/>
          <w:color w:val="000000" w:themeColor="text1"/>
          <w:u w:val="none"/>
        </w:rPr>
        <w:t xml:space="preserve"> the endogenous protein.</w:t>
      </w:r>
    </w:p>
    <w:p w:rsidR="000C5A6A" w:rsidRDefault="000C5A6A" w:rsidP="008118DA">
      <w:pPr>
        <w:ind w:hanging="18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a. Mix the appropriate amount of the </w:t>
      </w:r>
      <w:proofErr w:type="spellStart"/>
      <w:r>
        <w:rPr>
          <w:rStyle w:val="Hyperlink"/>
          <w:color w:val="000000" w:themeColor="text1"/>
          <w:u w:val="none"/>
        </w:rPr>
        <w:t>sgRNA</w:t>
      </w:r>
      <w:proofErr w:type="spellEnd"/>
      <w:r>
        <w:rPr>
          <w:rStyle w:val="Hyperlink"/>
          <w:color w:val="000000" w:themeColor="text1"/>
          <w:u w:val="none"/>
        </w:rPr>
        <w:t>/SpCas9 plasmid with the donor plasmid. We typically use 0.5 µg and 1 µg, respectively</w:t>
      </w:r>
      <w:r w:rsidR="00B02E57">
        <w:rPr>
          <w:rStyle w:val="Hyperlink"/>
          <w:color w:val="000000" w:themeColor="text1"/>
          <w:u w:val="none"/>
        </w:rPr>
        <w:t>,</w:t>
      </w:r>
      <w:r>
        <w:rPr>
          <w:rStyle w:val="Hyperlink"/>
          <w:color w:val="000000" w:themeColor="text1"/>
          <w:u w:val="none"/>
        </w:rPr>
        <w:t xml:space="preserve"> </w:t>
      </w:r>
      <w:r w:rsidR="008118DA">
        <w:rPr>
          <w:rStyle w:val="Hyperlink"/>
          <w:color w:val="000000" w:themeColor="text1"/>
          <w:u w:val="none"/>
        </w:rPr>
        <w:t xml:space="preserve">of DNAs </w:t>
      </w:r>
      <w:r>
        <w:rPr>
          <w:rStyle w:val="Hyperlink"/>
          <w:color w:val="000000" w:themeColor="text1"/>
          <w:u w:val="none"/>
        </w:rPr>
        <w:t xml:space="preserve">for a 35 cm tissue culture </w:t>
      </w:r>
      <w:r w:rsidR="00A30B80">
        <w:rPr>
          <w:rStyle w:val="Hyperlink"/>
          <w:color w:val="000000" w:themeColor="text1"/>
          <w:u w:val="none"/>
        </w:rPr>
        <w:t>dish</w:t>
      </w:r>
      <w:r>
        <w:rPr>
          <w:rStyle w:val="Hyperlink"/>
          <w:color w:val="000000" w:themeColor="text1"/>
          <w:u w:val="none"/>
        </w:rPr>
        <w:t>. The exact amount may vary depending on the transfection method and cell</w:t>
      </w:r>
      <w:r w:rsidR="00A30B80">
        <w:rPr>
          <w:rStyle w:val="Hyperlink"/>
          <w:color w:val="000000" w:themeColor="text1"/>
          <w:u w:val="none"/>
        </w:rPr>
        <w:t xml:space="preserve"> type</w:t>
      </w:r>
      <w:r>
        <w:rPr>
          <w:rStyle w:val="Hyperlink"/>
          <w:color w:val="000000" w:themeColor="text1"/>
          <w:u w:val="none"/>
        </w:rPr>
        <w:t xml:space="preserve">. </w:t>
      </w:r>
    </w:p>
    <w:p w:rsidR="000C5A6A" w:rsidRDefault="000C5A6A" w:rsidP="008118DA">
      <w:pPr>
        <w:ind w:hanging="18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b. Add a </w:t>
      </w:r>
      <w:r w:rsidR="00A30B80">
        <w:rPr>
          <w:rStyle w:val="Hyperlink"/>
          <w:color w:val="000000" w:themeColor="text1"/>
          <w:u w:val="none"/>
        </w:rPr>
        <w:t xml:space="preserve">small </w:t>
      </w:r>
      <w:r>
        <w:rPr>
          <w:rStyle w:val="Hyperlink"/>
          <w:color w:val="000000" w:themeColor="text1"/>
          <w:u w:val="none"/>
        </w:rPr>
        <w:t xml:space="preserve">amount of plasmid of a transfection marker. We typically use 0.2 µg of mRuby3 for green CRISPIE labeling. Most other red FPs aggregates or </w:t>
      </w:r>
      <w:r w:rsidR="00A30B80">
        <w:rPr>
          <w:rStyle w:val="Hyperlink"/>
          <w:color w:val="000000" w:themeColor="text1"/>
          <w:u w:val="none"/>
        </w:rPr>
        <w:t>exhibit</w:t>
      </w:r>
      <w:r>
        <w:rPr>
          <w:rStyle w:val="Hyperlink"/>
          <w:color w:val="000000" w:themeColor="text1"/>
          <w:u w:val="none"/>
        </w:rPr>
        <w:t xml:space="preserve"> a significant </w:t>
      </w:r>
      <w:r w:rsidR="00A30B80">
        <w:rPr>
          <w:rStyle w:val="Hyperlink"/>
          <w:color w:val="000000" w:themeColor="text1"/>
          <w:u w:val="none"/>
        </w:rPr>
        <w:t xml:space="preserve">green </w:t>
      </w:r>
      <w:r>
        <w:rPr>
          <w:rStyle w:val="Hyperlink"/>
          <w:color w:val="000000" w:themeColor="text1"/>
          <w:u w:val="none"/>
        </w:rPr>
        <w:t xml:space="preserve">component </w:t>
      </w:r>
      <w:r w:rsidR="00B02E57">
        <w:rPr>
          <w:rStyle w:val="Hyperlink"/>
          <w:color w:val="000000" w:themeColor="text1"/>
          <w:u w:val="none"/>
        </w:rPr>
        <w:t>(</w:t>
      </w:r>
      <w:r>
        <w:rPr>
          <w:rStyle w:val="Hyperlink"/>
          <w:color w:val="000000" w:themeColor="text1"/>
          <w:u w:val="none"/>
        </w:rPr>
        <w:t>or bleed</w:t>
      </w:r>
      <w:r w:rsidR="00323B42">
        <w:rPr>
          <w:rStyle w:val="Hyperlink"/>
          <w:color w:val="000000" w:themeColor="text1"/>
          <w:u w:val="none"/>
        </w:rPr>
        <w:t>-</w:t>
      </w:r>
      <w:r>
        <w:rPr>
          <w:rStyle w:val="Hyperlink"/>
          <w:color w:val="000000" w:themeColor="text1"/>
          <w:u w:val="none"/>
        </w:rPr>
        <w:t>through</w:t>
      </w:r>
      <w:r w:rsidR="00B02E57">
        <w:rPr>
          <w:rStyle w:val="Hyperlink"/>
          <w:color w:val="000000" w:themeColor="text1"/>
          <w:u w:val="none"/>
        </w:rPr>
        <w:t>)</w:t>
      </w:r>
      <w:r>
        <w:rPr>
          <w:rStyle w:val="Hyperlink"/>
          <w:color w:val="000000" w:themeColor="text1"/>
          <w:u w:val="none"/>
        </w:rPr>
        <w:t>, making it difficult to know whether the targeted protein is labeled</w:t>
      </w:r>
      <w:r w:rsidR="00A30B80">
        <w:rPr>
          <w:rStyle w:val="Hyperlink"/>
          <w:color w:val="000000" w:themeColor="text1"/>
          <w:u w:val="none"/>
        </w:rPr>
        <w:t xml:space="preserve"> (green)</w:t>
      </w:r>
      <w:r>
        <w:rPr>
          <w:rStyle w:val="Hyperlink"/>
          <w:color w:val="000000" w:themeColor="text1"/>
          <w:u w:val="none"/>
        </w:rPr>
        <w:t xml:space="preserve">. Note that </w:t>
      </w:r>
      <w:r w:rsidR="00A30B80">
        <w:rPr>
          <w:rStyle w:val="Hyperlink"/>
          <w:color w:val="000000" w:themeColor="text1"/>
          <w:u w:val="none"/>
        </w:rPr>
        <w:t xml:space="preserve">the labeling of </w:t>
      </w:r>
      <w:r>
        <w:rPr>
          <w:rStyle w:val="Hyperlink"/>
          <w:color w:val="000000" w:themeColor="text1"/>
          <w:u w:val="none"/>
        </w:rPr>
        <w:t xml:space="preserve">the majority of </w:t>
      </w:r>
      <w:r w:rsidR="00B02E57">
        <w:rPr>
          <w:rStyle w:val="Hyperlink"/>
          <w:color w:val="000000" w:themeColor="text1"/>
          <w:u w:val="none"/>
        </w:rPr>
        <w:t>protein</w:t>
      </w:r>
      <w:r w:rsidR="00A30B80">
        <w:rPr>
          <w:rStyle w:val="Hyperlink"/>
          <w:color w:val="000000" w:themeColor="text1"/>
          <w:u w:val="none"/>
        </w:rPr>
        <w:t>s</w:t>
      </w:r>
      <w:r>
        <w:rPr>
          <w:rStyle w:val="Hyperlink"/>
          <w:color w:val="000000" w:themeColor="text1"/>
          <w:u w:val="none"/>
        </w:rPr>
        <w:t xml:space="preserve"> at endogenous levels will be dim. mRuby3 also ha</w:t>
      </w:r>
      <w:r w:rsidR="00323B42">
        <w:rPr>
          <w:rStyle w:val="Hyperlink"/>
          <w:color w:val="000000" w:themeColor="text1"/>
          <w:u w:val="none"/>
        </w:rPr>
        <w:t>s</w:t>
      </w:r>
      <w:r>
        <w:rPr>
          <w:rStyle w:val="Hyperlink"/>
          <w:color w:val="000000" w:themeColor="text1"/>
          <w:u w:val="none"/>
        </w:rPr>
        <w:t xml:space="preserve"> a low level of green component, so only </w:t>
      </w:r>
      <w:r w:rsidR="00D77F9B">
        <w:rPr>
          <w:rStyle w:val="Hyperlink"/>
          <w:color w:val="000000" w:themeColor="text1"/>
          <w:u w:val="none"/>
        </w:rPr>
        <w:t xml:space="preserve">a </w:t>
      </w:r>
      <w:r>
        <w:rPr>
          <w:rStyle w:val="Hyperlink"/>
          <w:color w:val="000000" w:themeColor="text1"/>
          <w:u w:val="none"/>
        </w:rPr>
        <w:t>small amount of the plasmid</w:t>
      </w:r>
      <w:r w:rsidR="00B02E57">
        <w:rPr>
          <w:rStyle w:val="Hyperlink"/>
          <w:color w:val="000000" w:themeColor="text1"/>
          <w:u w:val="none"/>
        </w:rPr>
        <w:t xml:space="preserve"> should be used</w:t>
      </w:r>
      <w:r>
        <w:rPr>
          <w:rStyle w:val="Hyperlink"/>
          <w:color w:val="000000" w:themeColor="text1"/>
          <w:u w:val="none"/>
        </w:rPr>
        <w:t>.</w:t>
      </w:r>
    </w:p>
    <w:p w:rsidR="000C5A6A" w:rsidRDefault="000C5A6A" w:rsidP="008118DA">
      <w:pPr>
        <w:ind w:hanging="18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c. Follow the manufacture</w:t>
      </w:r>
      <w:r w:rsidR="00323B42">
        <w:rPr>
          <w:rStyle w:val="Hyperlink"/>
          <w:color w:val="000000" w:themeColor="text1"/>
          <w:u w:val="none"/>
        </w:rPr>
        <w:t>r’s</w:t>
      </w:r>
      <w:r>
        <w:rPr>
          <w:rStyle w:val="Hyperlink"/>
          <w:color w:val="000000" w:themeColor="text1"/>
          <w:u w:val="none"/>
        </w:rPr>
        <w:t xml:space="preserve"> protocol of </w:t>
      </w:r>
      <w:proofErr w:type="spellStart"/>
      <w:r>
        <w:rPr>
          <w:rStyle w:val="Hyperlink"/>
          <w:color w:val="000000" w:themeColor="text1"/>
          <w:u w:val="none"/>
        </w:rPr>
        <w:t>lipofectamine</w:t>
      </w:r>
      <w:proofErr w:type="spellEnd"/>
      <w:r>
        <w:rPr>
          <w:rStyle w:val="Hyperlink"/>
          <w:color w:val="000000" w:themeColor="text1"/>
          <w:u w:val="none"/>
        </w:rPr>
        <w:t xml:space="preserve"> 2000 (</w:t>
      </w:r>
      <w:proofErr w:type="spellStart"/>
      <w:r>
        <w:rPr>
          <w:rStyle w:val="Hyperlink"/>
          <w:color w:val="000000" w:themeColor="text1"/>
          <w:u w:val="none"/>
        </w:rPr>
        <w:t>ThermoFisher</w:t>
      </w:r>
      <w:proofErr w:type="spellEnd"/>
      <w:r>
        <w:rPr>
          <w:rStyle w:val="Hyperlink"/>
          <w:color w:val="000000" w:themeColor="text1"/>
          <w:u w:val="none"/>
        </w:rPr>
        <w:t xml:space="preserve">) </w:t>
      </w:r>
      <w:r w:rsidR="00B02E57">
        <w:rPr>
          <w:rStyle w:val="Hyperlink"/>
          <w:color w:val="000000" w:themeColor="text1"/>
          <w:u w:val="none"/>
        </w:rPr>
        <w:t>to transfect</w:t>
      </w:r>
      <w:r>
        <w:rPr>
          <w:rStyle w:val="Hyperlink"/>
          <w:color w:val="000000" w:themeColor="text1"/>
          <w:u w:val="none"/>
        </w:rPr>
        <w:t xml:space="preserve"> </w:t>
      </w:r>
      <w:r w:rsidR="009873A3">
        <w:rPr>
          <w:rStyle w:val="Hyperlink"/>
          <w:color w:val="000000" w:themeColor="text1"/>
          <w:u w:val="none"/>
        </w:rPr>
        <w:t xml:space="preserve">cells with the exception below. For actin labeling, we use </w:t>
      </w:r>
      <w:r>
        <w:rPr>
          <w:rStyle w:val="Hyperlink"/>
          <w:color w:val="000000" w:themeColor="text1"/>
          <w:u w:val="none"/>
        </w:rPr>
        <w:t>U2OS cells</w:t>
      </w:r>
      <w:r w:rsidR="00191793">
        <w:rPr>
          <w:rStyle w:val="Hyperlink"/>
          <w:color w:val="000000" w:themeColor="text1"/>
          <w:u w:val="none"/>
        </w:rPr>
        <w:t xml:space="preserve">, which </w:t>
      </w:r>
      <w:r w:rsidR="00D77F9B">
        <w:rPr>
          <w:rStyle w:val="Hyperlink"/>
          <w:color w:val="000000" w:themeColor="text1"/>
          <w:u w:val="none"/>
        </w:rPr>
        <w:t>are</w:t>
      </w:r>
      <w:r w:rsidR="00191793">
        <w:rPr>
          <w:rStyle w:val="Hyperlink"/>
          <w:color w:val="000000" w:themeColor="text1"/>
          <w:u w:val="none"/>
        </w:rPr>
        <w:t xml:space="preserve"> passed the day before </w:t>
      </w:r>
      <w:r w:rsidR="00B02E57">
        <w:rPr>
          <w:rStyle w:val="Hyperlink"/>
          <w:color w:val="000000" w:themeColor="text1"/>
          <w:u w:val="none"/>
        </w:rPr>
        <w:t xml:space="preserve">and </w:t>
      </w:r>
      <w:r w:rsidR="00323B42">
        <w:rPr>
          <w:rStyle w:val="Hyperlink"/>
          <w:color w:val="000000" w:themeColor="text1"/>
          <w:u w:val="none"/>
        </w:rPr>
        <w:t xml:space="preserve">are </w:t>
      </w:r>
      <w:r w:rsidR="00191793">
        <w:rPr>
          <w:rStyle w:val="Hyperlink"/>
          <w:color w:val="000000" w:themeColor="text1"/>
          <w:u w:val="none"/>
        </w:rPr>
        <w:t>at 30-50% confluency</w:t>
      </w:r>
      <w:r w:rsidR="00B02E57">
        <w:rPr>
          <w:rStyle w:val="Hyperlink"/>
          <w:color w:val="000000" w:themeColor="text1"/>
          <w:u w:val="none"/>
        </w:rPr>
        <w:t xml:space="preserve"> at transfection</w:t>
      </w:r>
      <w:r>
        <w:rPr>
          <w:rStyle w:val="Hyperlink"/>
          <w:color w:val="000000" w:themeColor="text1"/>
          <w:u w:val="none"/>
        </w:rPr>
        <w:t xml:space="preserve">. We typically use 5 µl </w:t>
      </w:r>
      <w:proofErr w:type="spellStart"/>
      <w:r w:rsidR="00B02E57">
        <w:rPr>
          <w:rStyle w:val="Hyperlink"/>
          <w:color w:val="000000" w:themeColor="text1"/>
          <w:u w:val="none"/>
        </w:rPr>
        <w:t>lipofectamine</w:t>
      </w:r>
      <w:proofErr w:type="spellEnd"/>
      <w:r w:rsidR="00B02E57">
        <w:rPr>
          <w:rStyle w:val="Hyperlink"/>
          <w:color w:val="000000" w:themeColor="text1"/>
          <w:u w:val="none"/>
        </w:rPr>
        <w:t xml:space="preserve"> 2000 </w:t>
      </w:r>
      <w:r>
        <w:rPr>
          <w:rStyle w:val="Hyperlink"/>
          <w:color w:val="000000" w:themeColor="text1"/>
          <w:u w:val="none"/>
        </w:rPr>
        <w:t>per well for</w:t>
      </w:r>
      <w:r w:rsidR="00323B42">
        <w:rPr>
          <w:rStyle w:val="Hyperlink"/>
          <w:color w:val="000000" w:themeColor="text1"/>
          <w:u w:val="none"/>
        </w:rPr>
        <w:t xml:space="preserve"> a</w:t>
      </w:r>
      <w:r>
        <w:rPr>
          <w:rStyle w:val="Hyperlink"/>
          <w:color w:val="000000" w:themeColor="text1"/>
          <w:u w:val="none"/>
        </w:rPr>
        <w:t xml:space="preserve"> 35 cm dish, which is half of the manufacture</w:t>
      </w:r>
      <w:r w:rsidR="00323B42">
        <w:rPr>
          <w:rStyle w:val="Hyperlink"/>
          <w:color w:val="000000" w:themeColor="text1"/>
          <w:u w:val="none"/>
        </w:rPr>
        <w:t>r’s</w:t>
      </w:r>
      <w:r>
        <w:rPr>
          <w:rStyle w:val="Hyperlink"/>
          <w:color w:val="000000" w:themeColor="text1"/>
          <w:u w:val="none"/>
        </w:rPr>
        <w:t xml:space="preserve"> recommended amount. Specifically for U2OS cells, the medium </w:t>
      </w:r>
      <w:r w:rsidR="00B02E57">
        <w:rPr>
          <w:rStyle w:val="Hyperlink"/>
          <w:color w:val="000000" w:themeColor="text1"/>
          <w:u w:val="none"/>
        </w:rPr>
        <w:t xml:space="preserve">will be replaced </w:t>
      </w:r>
      <w:r>
        <w:rPr>
          <w:rStyle w:val="Hyperlink"/>
          <w:color w:val="000000" w:themeColor="text1"/>
          <w:u w:val="none"/>
        </w:rPr>
        <w:t>after 5.5 hours, and once more at 6 hour</w:t>
      </w:r>
      <w:r w:rsidR="00B02E57">
        <w:rPr>
          <w:rStyle w:val="Hyperlink"/>
          <w:color w:val="000000" w:themeColor="text1"/>
          <w:u w:val="none"/>
        </w:rPr>
        <w:t>s</w:t>
      </w:r>
      <w:r>
        <w:rPr>
          <w:rStyle w:val="Hyperlink"/>
          <w:color w:val="000000" w:themeColor="text1"/>
          <w:u w:val="none"/>
        </w:rPr>
        <w:t xml:space="preserve"> after transfection</w:t>
      </w:r>
      <w:r w:rsidR="00B02E57">
        <w:rPr>
          <w:rStyle w:val="Hyperlink"/>
          <w:color w:val="000000" w:themeColor="text1"/>
          <w:u w:val="none"/>
        </w:rPr>
        <w:t>,</w:t>
      </w:r>
      <w:r>
        <w:rPr>
          <w:rStyle w:val="Hyperlink"/>
          <w:color w:val="000000" w:themeColor="text1"/>
          <w:u w:val="none"/>
        </w:rPr>
        <w:t xml:space="preserve"> to reduce toxicity </w:t>
      </w:r>
      <w:r w:rsidR="00B02E57">
        <w:rPr>
          <w:rStyle w:val="Hyperlink"/>
          <w:color w:val="000000" w:themeColor="text1"/>
          <w:u w:val="none"/>
        </w:rPr>
        <w:t xml:space="preserve">resulted from </w:t>
      </w:r>
      <w:r>
        <w:rPr>
          <w:rStyle w:val="Hyperlink"/>
          <w:color w:val="000000" w:themeColor="text1"/>
          <w:u w:val="none"/>
        </w:rPr>
        <w:t>the transfection reagent.</w:t>
      </w:r>
    </w:p>
    <w:p w:rsidR="00191793" w:rsidRDefault="00191793" w:rsidP="008118DA">
      <w:pPr>
        <w:ind w:hanging="18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d. The cells will be examined 3 days after transfection</w:t>
      </w:r>
      <w:r w:rsidR="009873A3">
        <w:rPr>
          <w:rStyle w:val="Hyperlink"/>
          <w:color w:val="000000" w:themeColor="text1"/>
          <w:u w:val="none"/>
        </w:rPr>
        <w:t xml:space="preserve"> under a</w:t>
      </w:r>
      <w:r w:rsidR="00C646C0">
        <w:rPr>
          <w:rStyle w:val="Hyperlink"/>
          <w:color w:val="000000" w:themeColor="text1"/>
          <w:u w:val="none"/>
        </w:rPr>
        <w:t>n upright</w:t>
      </w:r>
      <w:r w:rsidR="009873A3">
        <w:rPr>
          <w:rStyle w:val="Hyperlink"/>
          <w:color w:val="000000" w:themeColor="text1"/>
          <w:u w:val="none"/>
        </w:rPr>
        <w:t xml:space="preserve"> microscope</w:t>
      </w:r>
      <w:r>
        <w:rPr>
          <w:rStyle w:val="Hyperlink"/>
          <w:color w:val="000000" w:themeColor="text1"/>
          <w:u w:val="none"/>
        </w:rPr>
        <w:t>.</w:t>
      </w:r>
      <w:r w:rsidR="00C646C0">
        <w:rPr>
          <w:rStyle w:val="Hyperlink"/>
          <w:color w:val="000000" w:themeColor="text1"/>
          <w:u w:val="none"/>
        </w:rPr>
        <w:t xml:space="preserve"> For experiments involving inverted microscopes, the cells will be re-plated into</w:t>
      </w:r>
      <w:r>
        <w:rPr>
          <w:rStyle w:val="Hyperlink"/>
          <w:color w:val="000000" w:themeColor="text1"/>
          <w:u w:val="none"/>
        </w:rPr>
        <w:t xml:space="preserve"> </w:t>
      </w:r>
      <w:r w:rsidR="00C646C0">
        <w:rPr>
          <w:rStyle w:val="Hyperlink"/>
          <w:color w:val="000000" w:themeColor="text1"/>
          <w:u w:val="none"/>
        </w:rPr>
        <w:t>coverslip-bottom</w:t>
      </w:r>
      <w:r w:rsidR="009E5B18">
        <w:rPr>
          <w:rStyle w:val="Hyperlink"/>
          <w:color w:val="000000" w:themeColor="text1"/>
          <w:u w:val="none"/>
        </w:rPr>
        <w:t>ed</w:t>
      </w:r>
      <w:r w:rsidR="00C646C0">
        <w:rPr>
          <w:rStyle w:val="Hyperlink"/>
          <w:color w:val="000000" w:themeColor="text1"/>
          <w:u w:val="none"/>
        </w:rPr>
        <w:t xml:space="preserve"> dishes (WPI #FD35-100) or 6 well plates (</w:t>
      </w:r>
      <w:proofErr w:type="spellStart"/>
      <w:r w:rsidR="00C646C0">
        <w:rPr>
          <w:rStyle w:val="Hyperlink"/>
          <w:color w:val="000000" w:themeColor="text1"/>
          <w:u w:val="none"/>
        </w:rPr>
        <w:t>Cellvis</w:t>
      </w:r>
      <w:proofErr w:type="spellEnd"/>
      <w:r w:rsidR="00C646C0">
        <w:rPr>
          <w:rStyle w:val="Hyperlink"/>
          <w:color w:val="000000" w:themeColor="text1"/>
          <w:u w:val="none"/>
        </w:rPr>
        <w:t xml:space="preserve"> #</w:t>
      </w:r>
      <w:r w:rsidR="00C646C0" w:rsidRPr="00C646C0">
        <w:rPr>
          <w:rStyle w:val="Hyperlink"/>
          <w:color w:val="000000" w:themeColor="text1"/>
          <w:u w:val="none"/>
        </w:rPr>
        <w:t>P06-1.5H-N</w:t>
      </w:r>
      <w:r w:rsidR="00C646C0">
        <w:rPr>
          <w:rStyle w:val="Hyperlink"/>
          <w:color w:val="000000" w:themeColor="text1"/>
          <w:u w:val="none"/>
        </w:rPr>
        <w:t>), and imaged 0–3 days after re-plating depending on the experiment.</w:t>
      </w:r>
    </w:p>
    <w:p w:rsidR="00191793" w:rsidRDefault="00191793" w:rsidP="008118DA">
      <w:pPr>
        <w:ind w:hanging="180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e. Other transfection method</w:t>
      </w:r>
      <w:r w:rsidR="008D54C4">
        <w:rPr>
          <w:rStyle w:val="Hyperlink"/>
          <w:color w:val="000000" w:themeColor="text1"/>
          <w:u w:val="none"/>
        </w:rPr>
        <w:t>s</w:t>
      </w:r>
      <w:r>
        <w:rPr>
          <w:rStyle w:val="Hyperlink"/>
          <w:color w:val="000000" w:themeColor="text1"/>
          <w:u w:val="none"/>
        </w:rPr>
        <w:t xml:space="preserve"> should also work. For biolistic transfection, we </w:t>
      </w:r>
      <w:r w:rsidR="008118DA">
        <w:rPr>
          <w:rStyle w:val="Hyperlink"/>
          <w:color w:val="000000" w:themeColor="text1"/>
          <w:u w:val="none"/>
        </w:rPr>
        <w:t xml:space="preserve">typically </w:t>
      </w:r>
      <w:r>
        <w:rPr>
          <w:rStyle w:val="Hyperlink"/>
          <w:color w:val="000000" w:themeColor="text1"/>
          <w:u w:val="none"/>
        </w:rPr>
        <w:t xml:space="preserve">use </w:t>
      </w:r>
      <w:r w:rsidR="008118DA">
        <w:rPr>
          <w:rStyle w:val="Hyperlink"/>
          <w:color w:val="000000" w:themeColor="text1"/>
          <w:u w:val="none"/>
        </w:rPr>
        <w:t xml:space="preserve">3 µg </w:t>
      </w:r>
      <w:proofErr w:type="spellStart"/>
      <w:r w:rsidR="008118DA">
        <w:rPr>
          <w:rStyle w:val="Hyperlink"/>
          <w:color w:val="000000" w:themeColor="text1"/>
          <w:u w:val="none"/>
        </w:rPr>
        <w:t>sgRNA</w:t>
      </w:r>
      <w:proofErr w:type="spellEnd"/>
      <w:r w:rsidR="008118DA">
        <w:rPr>
          <w:rStyle w:val="Hyperlink"/>
          <w:color w:val="000000" w:themeColor="text1"/>
          <w:u w:val="none"/>
        </w:rPr>
        <w:t>/SpCas9, 6 µg donor</w:t>
      </w:r>
      <w:r w:rsidR="008D54C4">
        <w:rPr>
          <w:rStyle w:val="Hyperlink"/>
          <w:color w:val="000000" w:themeColor="text1"/>
          <w:u w:val="none"/>
        </w:rPr>
        <w:t>,</w:t>
      </w:r>
      <w:r w:rsidR="008118DA">
        <w:rPr>
          <w:rStyle w:val="Hyperlink"/>
          <w:color w:val="000000" w:themeColor="text1"/>
          <w:u w:val="none"/>
        </w:rPr>
        <w:t xml:space="preserve"> and 0.3 µg mRuby3 </w:t>
      </w:r>
      <w:r w:rsidR="008D54C4">
        <w:rPr>
          <w:rStyle w:val="Hyperlink"/>
          <w:color w:val="000000" w:themeColor="text1"/>
          <w:u w:val="none"/>
        </w:rPr>
        <w:t xml:space="preserve">plasmids </w:t>
      </w:r>
      <w:r w:rsidR="008118DA">
        <w:rPr>
          <w:rStyle w:val="Hyperlink"/>
          <w:color w:val="000000" w:themeColor="text1"/>
          <w:u w:val="none"/>
        </w:rPr>
        <w:t xml:space="preserve">per half-a-tube bullet preparation (Bio-Rad). </w:t>
      </w:r>
      <w:r w:rsidR="008D54C4">
        <w:rPr>
          <w:rStyle w:val="Hyperlink"/>
          <w:color w:val="000000" w:themeColor="text1"/>
          <w:u w:val="none"/>
        </w:rPr>
        <w:t xml:space="preserve">Transfected cultured hippocampal slices are imaged 7–10 days post transfection. </w:t>
      </w:r>
      <w:r w:rsidR="008118DA">
        <w:rPr>
          <w:rStyle w:val="Hyperlink"/>
          <w:color w:val="000000" w:themeColor="text1"/>
          <w:u w:val="none"/>
        </w:rPr>
        <w:t xml:space="preserve">For </w:t>
      </w:r>
      <w:r w:rsidR="008D54C4">
        <w:rPr>
          <w:rStyle w:val="Hyperlink"/>
          <w:color w:val="000000" w:themeColor="text1"/>
          <w:u w:val="none"/>
        </w:rPr>
        <w:t>i</w:t>
      </w:r>
      <w:r w:rsidR="008118DA">
        <w:rPr>
          <w:rStyle w:val="Hyperlink"/>
          <w:color w:val="000000" w:themeColor="text1"/>
          <w:u w:val="none"/>
        </w:rPr>
        <w:t xml:space="preserve">n utero electroporation, we typically use ~1.2 µg </w:t>
      </w:r>
      <w:proofErr w:type="spellStart"/>
      <w:r w:rsidR="008118DA">
        <w:rPr>
          <w:rStyle w:val="Hyperlink"/>
          <w:color w:val="000000" w:themeColor="text1"/>
          <w:u w:val="none"/>
        </w:rPr>
        <w:t>sgRNA</w:t>
      </w:r>
      <w:proofErr w:type="spellEnd"/>
      <w:r w:rsidR="008118DA">
        <w:rPr>
          <w:rStyle w:val="Hyperlink"/>
          <w:color w:val="000000" w:themeColor="text1"/>
          <w:u w:val="none"/>
        </w:rPr>
        <w:t xml:space="preserve">/SpCas9, 1.8 µg donor, and 0.8 µg mRuby3 (endotoxin-free </w:t>
      </w:r>
      <w:proofErr w:type="spellStart"/>
      <w:r w:rsidR="008118DA">
        <w:rPr>
          <w:rStyle w:val="Hyperlink"/>
          <w:color w:val="000000" w:themeColor="text1"/>
          <w:u w:val="none"/>
        </w:rPr>
        <w:t>maxiprep</w:t>
      </w:r>
      <w:proofErr w:type="spellEnd"/>
      <w:r w:rsidR="008118DA">
        <w:rPr>
          <w:rStyle w:val="Hyperlink"/>
          <w:color w:val="000000" w:themeColor="text1"/>
          <w:u w:val="none"/>
        </w:rPr>
        <w:t xml:space="preserve"> DNA) in one microliter per embryo. </w:t>
      </w:r>
      <w:r w:rsidR="008D54C4">
        <w:rPr>
          <w:rStyle w:val="Hyperlink"/>
          <w:color w:val="000000" w:themeColor="text1"/>
          <w:u w:val="none"/>
        </w:rPr>
        <w:t xml:space="preserve">Electroporation is typically carried out at E15.5 for layer 2/3 cortical neurons. We typically examine in acute slices at p20 – p30, or install cranial window for </w:t>
      </w:r>
      <w:r w:rsidR="008D54C4" w:rsidRPr="0058797F">
        <w:rPr>
          <w:rStyle w:val="Hyperlink"/>
          <w:i/>
          <w:color w:val="000000" w:themeColor="text1"/>
          <w:u w:val="none"/>
        </w:rPr>
        <w:t>in vivo</w:t>
      </w:r>
      <w:r w:rsidR="008D54C4">
        <w:rPr>
          <w:rStyle w:val="Hyperlink"/>
          <w:color w:val="000000" w:themeColor="text1"/>
          <w:u w:val="none"/>
        </w:rPr>
        <w:t xml:space="preserve"> imaging at ~p45 – p60.</w:t>
      </w:r>
    </w:p>
    <w:p w:rsidR="00B30E41" w:rsidRPr="0091212F" w:rsidRDefault="00B30E41" w:rsidP="0018504F">
      <w:pPr>
        <w:ind w:left="0" w:firstLine="0"/>
      </w:pPr>
    </w:p>
    <w:sectPr w:rsidR="00B30E41" w:rsidRPr="00912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61"/>
    <w:rsid w:val="0000502A"/>
    <w:rsid w:val="000C5A6A"/>
    <w:rsid w:val="0018504F"/>
    <w:rsid w:val="00185E88"/>
    <w:rsid w:val="00191793"/>
    <w:rsid w:val="002542D6"/>
    <w:rsid w:val="00300061"/>
    <w:rsid w:val="00323B42"/>
    <w:rsid w:val="003609CC"/>
    <w:rsid w:val="0058797F"/>
    <w:rsid w:val="0065177F"/>
    <w:rsid w:val="0074768B"/>
    <w:rsid w:val="008118DA"/>
    <w:rsid w:val="0083298F"/>
    <w:rsid w:val="008D54C4"/>
    <w:rsid w:val="008F1625"/>
    <w:rsid w:val="0091212F"/>
    <w:rsid w:val="009873A3"/>
    <w:rsid w:val="009E5B18"/>
    <w:rsid w:val="00A011E2"/>
    <w:rsid w:val="00A30B80"/>
    <w:rsid w:val="00B02E57"/>
    <w:rsid w:val="00B30E41"/>
    <w:rsid w:val="00B44B4E"/>
    <w:rsid w:val="00C646C0"/>
    <w:rsid w:val="00D77F9B"/>
    <w:rsid w:val="00E14FE5"/>
    <w:rsid w:val="00ED58D3"/>
    <w:rsid w:val="00F07825"/>
    <w:rsid w:val="00FB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ED1BF-63A6-43C7-B256-F6860F67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04F"/>
    <w:pPr>
      <w:contextualSpacing/>
    </w:pPr>
  </w:style>
  <w:style w:type="character" w:styleId="Hyperlink">
    <w:name w:val="Hyperlink"/>
    <w:basedOn w:val="DefaultParagraphFont"/>
    <w:uiPriority w:val="99"/>
    <w:unhideWhenUsed/>
    <w:rsid w:val="0018504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212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12F"/>
    <w:pPr>
      <w:tabs>
        <w:tab w:val="center" w:pos="4680"/>
        <w:tab w:val="right" w:pos="9360"/>
      </w:tabs>
      <w:spacing w:after="0" w:line="240" w:lineRule="auto"/>
      <w:ind w:left="0" w:firstLine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1212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dgene.org/42230/" TargetMode="External"/><Relationship Id="rId5" Type="http://schemas.openxmlformats.org/officeDocument/2006/relationships/hyperlink" Target="https://portals.broadinstitute.org/gpp/public/analysis-tools/sgrna-design" TargetMode="External"/><Relationship Id="rId4" Type="http://schemas.openxmlformats.org/officeDocument/2006/relationships/hyperlink" Target="https://www.ncbi.nlm.nih.gov/ge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Haining Zhong</dc:creator>
  <cp:keywords/>
  <dc:description/>
  <cp:lastModifiedBy>Haining Zhong</cp:lastModifiedBy>
  <cp:revision>8</cp:revision>
  <dcterms:created xsi:type="dcterms:W3CDTF">2021-05-02T06:01:00Z</dcterms:created>
  <dcterms:modified xsi:type="dcterms:W3CDTF">2021-05-06T22:21:00Z</dcterms:modified>
</cp:coreProperties>
</file>