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B34508"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B34508"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B34508"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FA555C" w:rsidRPr="00863F38" w:rsidRDefault="00FA55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FA555C">
        <w:rPr>
          <w:rFonts w:asciiTheme="minorHAnsi" w:hAnsiTheme="minorHAnsi"/>
          <w:sz w:val="20"/>
          <w:szCs w:val="20"/>
        </w:rPr>
        <w:t>We determined the sample size based on other papers using miniaturized microscopes</w:t>
      </w:r>
      <w:r w:rsidR="0019412E">
        <w:rPr>
          <w:rFonts w:asciiTheme="minorHAnsi" w:hAnsiTheme="minorHAnsi"/>
          <w:sz w:val="20"/>
          <w:szCs w:val="20"/>
        </w:rPr>
        <w:t xml:space="preserve"> (see ‘mice’ section on Materials and Methods)</w:t>
      </w:r>
      <w:r w:rsidRPr="00FA555C">
        <w:rPr>
          <w:rFonts w:asciiTheme="minorHAnsi" w:hAnsiTheme="minorHAnsi"/>
          <w:sz w:val="20"/>
          <w:szCs w:val="20"/>
        </w:rPr>
        <w:t xml:space="preserve">. </w:t>
      </w:r>
      <w:r w:rsidR="00863F38">
        <w:rPr>
          <w:rFonts w:asciiTheme="minorHAnsi" w:hAnsiTheme="minorHAnsi"/>
          <w:sz w:val="20"/>
          <w:szCs w:val="20"/>
        </w:rPr>
        <w:t>It is noteworthy that t</w:t>
      </w:r>
      <w:r w:rsidRPr="00FA555C">
        <w:rPr>
          <w:rFonts w:asciiTheme="minorHAnsi" w:hAnsiTheme="minorHAnsi"/>
          <w:sz w:val="20"/>
          <w:szCs w:val="20"/>
        </w:rPr>
        <w:t>he number of c</w:t>
      </w:r>
      <w:r w:rsidR="00863F38">
        <w:rPr>
          <w:rFonts w:asciiTheme="minorHAnsi" w:hAnsiTheme="minorHAnsi"/>
          <w:sz w:val="20"/>
          <w:szCs w:val="20"/>
        </w:rPr>
        <w:t xml:space="preserve">ells in this manuscript is over </w:t>
      </w:r>
      <w:r w:rsidRPr="00FA555C">
        <w:rPr>
          <w:rFonts w:asciiTheme="minorHAnsi" w:hAnsiTheme="minorHAnsi"/>
          <w:sz w:val="20"/>
          <w:szCs w:val="20"/>
        </w:rPr>
        <w:t>an order of magnitude larger than prior recent recordings of dorsal periaqueductal gray (dPAG) cells</w:t>
      </w:r>
      <w:r w:rsidR="00863F38">
        <w:rPr>
          <w:rFonts w:asciiTheme="minorHAnsi" w:hAnsiTheme="minorHAnsi"/>
          <w:sz w:val="20"/>
          <w:szCs w:val="20"/>
        </w:rPr>
        <w:t>.</w:t>
      </w:r>
      <w:r w:rsidRPr="00FA555C">
        <w:rPr>
          <w:rFonts w:asciiTheme="minorHAnsi" w:hAnsiTheme="minorHAnsi"/>
          <w:sz w:val="20"/>
          <w:szCs w:val="20"/>
        </w:rPr>
        <w:t xml:space="preserve"> (</w:t>
      </w:r>
      <w:hyperlink r:id="rId11" w:history="1">
        <w:r w:rsidRPr="00FA555C">
          <w:rPr>
            <w:rStyle w:val="Hyperlink"/>
            <w:rFonts w:asciiTheme="minorHAnsi" w:hAnsiTheme="minorHAnsi"/>
            <w:sz w:val="20"/>
            <w:szCs w:val="20"/>
          </w:rPr>
          <w:t>https://pubmed.ncbi.nlm.nih.gov/27974618/</w:t>
        </w:r>
      </w:hyperlink>
      <w:r w:rsidRPr="00FA555C">
        <w:rPr>
          <w:rFonts w:asciiTheme="minorHAnsi" w:hAnsiTheme="minorHAnsi"/>
          <w:sz w:val="20"/>
          <w:szCs w:val="20"/>
        </w:rPr>
        <w:t xml:space="preserve">  ,  </w:t>
      </w:r>
      <w:hyperlink r:id="rId12" w:history="1">
        <w:r w:rsidRPr="00FA555C">
          <w:rPr>
            <w:rStyle w:val="Hyperlink"/>
            <w:rFonts w:asciiTheme="minorHAnsi" w:hAnsiTheme="minorHAnsi"/>
            <w:sz w:val="20"/>
            <w:szCs w:val="20"/>
          </w:rPr>
          <w:t>https://pubmed.ncbi.nlm.nih.gov/27445137/</w:t>
        </w:r>
      </w:hyperlink>
      <w:r w:rsidRPr="00FA555C">
        <w:rPr>
          <w:rFonts w:asciiTheme="minorHAnsi" w:hAnsiTheme="minorHAnsi"/>
          <w:sz w:val="20"/>
          <w:szCs w:val="20"/>
        </w:rPr>
        <w:t xml:space="preserve"> , </w:t>
      </w:r>
      <w:hyperlink r:id="rId13" w:history="1">
        <w:r w:rsidRPr="00FA555C">
          <w:rPr>
            <w:rStyle w:val="Hyperlink"/>
            <w:rFonts w:asciiTheme="minorHAnsi" w:hAnsiTheme="minorHAnsi"/>
            <w:sz w:val="20"/>
            <w:szCs w:val="20"/>
          </w:rPr>
          <w:t>https://pubmed.ncbi.nlm.nih.gov/33115925/</w:t>
        </w:r>
      </w:hyperlink>
      <w:r w:rsidRPr="00FA555C">
        <w:rPr>
          <w:rFonts w:asciiTheme="minorHAnsi" w:hAnsiTheme="minorHAnsi"/>
          <w:sz w:val="20"/>
          <w:szCs w:val="20"/>
        </w:rPr>
        <w:t>)</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B330BD" w:rsidRPr="00125190" w:rsidRDefault="003C3C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performed twice, with two cohorts of </w:t>
      </w:r>
      <w:r w:rsidR="0019412E">
        <w:rPr>
          <w:rFonts w:asciiTheme="minorHAnsi" w:hAnsiTheme="minorHAnsi"/>
        </w:rPr>
        <w:t>3 and 4</w:t>
      </w:r>
      <w:r>
        <w:rPr>
          <w:rFonts w:asciiTheme="minorHAnsi" w:hAnsiTheme="minorHAnsi"/>
        </w:rPr>
        <w:t xml:space="preserve"> mice each. Each </w:t>
      </w:r>
      <w:r w:rsidR="0019412E">
        <w:rPr>
          <w:rFonts w:asciiTheme="minorHAnsi" w:hAnsiTheme="minorHAnsi"/>
        </w:rPr>
        <w:t>mouse</w:t>
      </w:r>
      <w:r>
        <w:rPr>
          <w:rFonts w:asciiTheme="minorHAnsi" w:hAnsiTheme="minorHAnsi"/>
        </w:rPr>
        <w:t xml:space="preserve"> was only exposed to each assay once, as fear assays cannot be repeated. Thus, there are no technical replicates. No outliers were found or excluded. All mice were used. </w:t>
      </w:r>
      <w:r w:rsidR="0019412E">
        <w:rPr>
          <w:rFonts w:asciiTheme="minorHAnsi" w:hAnsiTheme="minorHAnsi"/>
        </w:rPr>
        <w:t>(see Materials and Methods, ‘Behavioral Timeline’).</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15519A" w:rsidRPr="0019412E" w:rsidRDefault="003C3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412E">
        <w:rPr>
          <w:rFonts w:asciiTheme="minorHAnsi" w:hAnsiTheme="minorHAnsi"/>
          <w:sz w:val="22"/>
          <w:szCs w:val="22"/>
        </w:rPr>
        <w:t>All the requested statistical information is in the figure legends.</w:t>
      </w:r>
      <w:r w:rsidR="0019412E" w:rsidRPr="0019412E">
        <w:rPr>
          <w:rFonts w:asciiTheme="minorHAnsi" w:hAnsiTheme="minorHAnsi"/>
          <w:sz w:val="22"/>
          <w:szCs w:val="22"/>
        </w:rPr>
        <w:t xml:space="preserve"> </w:t>
      </w: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BC3CCE" w:rsidRPr="00505C51" w:rsidRDefault="003C3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Neural recordings were obtained from all mice in identical conditions, and thus they were all allocated to the same experimental group. There were no experimentally controlled differences across mice and there were no “treatment groups”.</w:t>
      </w:r>
      <w:r w:rsidR="0019412E">
        <w:rPr>
          <w:rFonts w:asciiTheme="minorHAnsi" w:hAnsiTheme="minorHAnsi"/>
          <w:sz w:val="22"/>
          <w:szCs w:val="22"/>
        </w:rPr>
        <w:t xml:space="preserve"> </w:t>
      </w:r>
      <w:r w:rsidR="0019412E" w:rsidRPr="0019412E">
        <w:rPr>
          <w:rFonts w:asciiTheme="minorHAnsi" w:hAnsiTheme="minorHAnsi"/>
          <w:sz w:val="22"/>
          <w:szCs w:val="22"/>
        </w:rPr>
        <w:t>(see Materials and Methods, ‘Behavioral Timeline’).</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0E07CC" w:rsidRDefault="003C3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0E07CC">
        <w:rPr>
          <w:rFonts w:asciiTheme="minorHAnsi" w:hAnsiTheme="minorHAnsi" w:cstheme="minorHAnsi"/>
          <w:sz w:val="22"/>
          <w:szCs w:val="22"/>
        </w:rPr>
        <w:lastRenderedPageBreak/>
        <w:t xml:space="preserve">All data was uploaded to dryad and all code was uploaded to </w:t>
      </w:r>
      <w:proofErr w:type="spellStart"/>
      <w:r w:rsidRPr="000E07CC">
        <w:rPr>
          <w:rFonts w:asciiTheme="minorHAnsi" w:hAnsiTheme="minorHAnsi" w:cstheme="minorHAnsi"/>
          <w:sz w:val="22"/>
          <w:szCs w:val="22"/>
        </w:rPr>
        <w:t>github</w:t>
      </w:r>
      <w:proofErr w:type="spellEnd"/>
      <w:r w:rsidR="0019412E">
        <w:rPr>
          <w:rFonts w:asciiTheme="minorHAnsi" w:hAnsiTheme="minorHAnsi" w:cstheme="minorHAnsi"/>
          <w:sz w:val="22"/>
          <w:szCs w:val="22"/>
        </w:rPr>
        <w:t xml:space="preserve"> (see Materials and Methods, ‘Data and Code </w:t>
      </w:r>
      <w:bookmarkStart w:id="0" w:name="_GoBack"/>
      <w:bookmarkEnd w:id="0"/>
      <w:r w:rsidR="0019412E">
        <w:rPr>
          <w:rFonts w:asciiTheme="minorHAnsi" w:hAnsiTheme="minorHAnsi" w:cstheme="minorHAnsi"/>
          <w:sz w:val="22"/>
          <w:szCs w:val="22"/>
        </w:rPr>
        <w:t>Availability’ section).</w:t>
      </w:r>
    </w:p>
    <w:p w:rsidR="000E07CC" w:rsidRPr="000E07CC" w:rsidRDefault="00D031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hyperlink r:id="rId14" w:tgtFrame="_blank" w:history="1">
        <w:r w:rsidR="000E07CC" w:rsidRPr="000E07CC">
          <w:rPr>
            <w:rStyle w:val="Hyperlink"/>
            <w:rFonts w:asciiTheme="minorHAnsi" w:hAnsiTheme="minorHAnsi" w:cstheme="minorHAnsi"/>
            <w:color w:val="000000" w:themeColor="text1"/>
            <w:sz w:val="22"/>
            <w:szCs w:val="22"/>
            <w:u w:val="none"/>
            <w:bdr w:val="none" w:sz="0" w:space="0" w:color="auto" w:frame="1"/>
            <w:shd w:val="clear" w:color="auto" w:fill="FFFFFF"/>
          </w:rPr>
          <w:t>https://datadryad.org/stash/share/4GezSjw4dvDJClAWa_zRoNWioH9qzGtDCJjLQ89HVoA</w:t>
        </w:r>
      </w:hyperlink>
    </w:p>
    <w:p w:rsidR="000E07CC" w:rsidRPr="000E07CC" w:rsidRDefault="00D031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hyperlink r:id="rId15" w:tgtFrame="_blank" w:history="1">
        <w:r w:rsidR="000E07CC" w:rsidRPr="000E07CC">
          <w:rPr>
            <w:rStyle w:val="Hyperlink"/>
            <w:rFonts w:asciiTheme="minorHAnsi" w:hAnsiTheme="minorHAnsi" w:cstheme="minorHAnsi"/>
            <w:color w:val="000000" w:themeColor="text1"/>
            <w:sz w:val="22"/>
            <w:szCs w:val="22"/>
            <w:u w:val="none"/>
            <w:bdr w:val="none" w:sz="0" w:space="0" w:color="auto" w:frame="1"/>
          </w:rPr>
          <w:t>https://doi.org/10.5068/D1TM2G</w:t>
        </w:r>
      </w:hyperlink>
      <w:r w:rsidR="000E07CC" w:rsidRPr="000E07CC">
        <w:rPr>
          <w:rFonts w:asciiTheme="minorHAnsi" w:hAnsiTheme="minorHAnsi" w:cstheme="minorHAnsi"/>
          <w:color w:val="000000" w:themeColor="text1"/>
          <w:sz w:val="22"/>
          <w:szCs w:val="22"/>
          <w:shd w:val="clear" w:color="auto" w:fill="FFFFFF"/>
        </w:rPr>
        <w:t>  </w:t>
      </w:r>
    </w:p>
    <w:p w:rsidR="006E39E8" w:rsidRPr="000E07CC" w:rsidRDefault="00D031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hyperlink r:id="rId16" w:tgtFrame="_blank" w:history="1">
        <w:r w:rsidR="006E39E8" w:rsidRPr="000E07CC">
          <w:rPr>
            <w:rStyle w:val="Hyperlink"/>
            <w:rFonts w:asciiTheme="minorHAnsi" w:hAnsiTheme="minorHAnsi" w:cstheme="minorHAnsi"/>
            <w:color w:val="000000" w:themeColor="text1"/>
            <w:sz w:val="22"/>
            <w:szCs w:val="22"/>
            <w:u w:val="none"/>
            <w:bdr w:val="none" w:sz="0" w:space="0" w:color="auto" w:frame="1"/>
            <w:shd w:val="clear" w:color="auto" w:fill="FFFFFF"/>
          </w:rPr>
          <w:t>https://github.com/schuettepeter/eLife_dPAG-ensembles-represent-approach-and-avoidance-states</w:t>
        </w:r>
      </w:hyperlink>
    </w:p>
    <w:p w:rsidR="00A62B52" w:rsidRPr="00406FF4" w:rsidRDefault="00A62B52" w:rsidP="00A62B52">
      <w:pPr>
        <w:rPr>
          <w:rFonts w:asciiTheme="minorHAnsi" w:hAnsiTheme="minorHAnsi"/>
          <w:sz w:val="22"/>
          <w:szCs w:val="22"/>
        </w:rPr>
      </w:pPr>
    </w:p>
    <w:sectPr w:rsidR="00A62B52" w:rsidRPr="00406FF4" w:rsidSect="00A62B52">
      <w:headerReference w:type="default" r:id="rId17"/>
      <w:footerReference w:type="even" r:id="rId18"/>
      <w:footerReference w:type="default" r:id="rId19"/>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C1" w:rsidRDefault="00D031C1" w:rsidP="004215FE">
      <w:r>
        <w:separator/>
      </w:r>
    </w:p>
  </w:endnote>
  <w:endnote w:type="continuationSeparator" w:id="0">
    <w:p w:rsidR="00D031C1" w:rsidRDefault="00D031C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CE" w:rsidRDefault="00B34508"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B34508"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CE" w:rsidRPr="0009520A" w:rsidRDefault="00B34508"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C3C79">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C1" w:rsidRDefault="00D031C1" w:rsidP="004215FE">
      <w:r>
        <w:separator/>
      </w:r>
    </w:p>
  </w:footnote>
  <w:footnote w:type="continuationSeparator" w:id="0">
    <w:p w:rsidR="00D031C1" w:rsidRDefault="00D031C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CE" w:rsidRDefault="00BC3CCE" w:rsidP="004215FE">
    <w:pPr>
      <w:pStyle w:val="Header"/>
      <w:ind w:left="-1134"/>
    </w:pPr>
    <w:r>
      <w:rPr>
        <w:noProof/>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C7C50"/>
    <w:rsid w:val="000D14EE"/>
    <w:rsid w:val="000D62F9"/>
    <w:rsid w:val="000E07CC"/>
    <w:rsid w:val="000F64EE"/>
    <w:rsid w:val="00100F97"/>
    <w:rsid w:val="001019CD"/>
    <w:rsid w:val="00125190"/>
    <w:rsid w:val="00133662"/>
    <w:rsid w:val="00133907"/>
    <w:rsid w:val="00146DE9"/>
    <w:rsid w:val="0015519A"/>
    <w:rsid w:val="001618D5"/>
    <w:rsid w:val="00162B6E"/>
    <w:rsid w:val="00174A06"/>
    <w:rsid w:val="00175192"/>
    <w:rsid w:val="0019412E"/>
    <w:rsid w:val="001E1D59"/>
    <w:rsid w:val="001E66B6"/>
    <w:rsid w:val="00212F30"/>
    <w:rsid w:val="00217B9E"/>
    <w:rsid w:val="00222625"/>
    <w:rsid w:val="002336C6"/>
    <w:rsid w:val="00241081"/>
    <w:rsid w:val="00266462"/>
    <w:rsid w:val="002A068D"/>
    <w:rsid w:val="002A0ED1"/>
    <w:rsid w:val="002A7487"/>
    <w:rsid w:val="00307F5D"/>
    <w:rsid w:val="003248ED"/>
    <w:rsid w:val="00370080"/>
    <w:rsid w:val="00393157"/>
    <w:rsid w:val="003C3C79"/>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39E8"/>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3F38"/>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021D2"/>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4508"/>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31C1"/>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555C"/>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B2FE0"/>
  <w15:docId w15:val="{3C8AB0AD-3888-43D3-B810-A9372CF2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pubmed.ncbi.nlm.nih.gov/331159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74451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schuettepeter/eLife_dPAG-ensembles-represent-approach-and-avoidance-st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7974618/" TargetMode="External"/><Relationship Id="rId5" Type="http://schemas.openxmlformats.org/officeDocument/2006/relationships/webSettings" Target="webSettings.xml"/><Relationship Id="rId15" Type="http://schemas.openxmlformats.org/officeDocument/2006/relationships/hyperlink" Target="https://doi.org/10.5068/D1TM2G" TargetMode="External"/><Relationship Id="rId10" Type="http://schemas.openxmlformats.org/officeDocument/2006/relationships/hyperlink" Target="mailto:editorial@elifescience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atadryad.org/stash/share/4GezSjw4dvDJClAWa_zRoNWioH9qzGtDCJjLQ89HV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7B84-7E5F-4BBC-829C-91322E1C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AviLab</cp:lastModifiedBy>
  <cp:revision>6</cp:revision>
  <dcterms:created xsi:type="dcterms:W3CDTF">2020-11-17T05:43:00Z</dcterms:created>
  <dcterms:modified xsi:type="dcterms:W3CDTF">2020-11-17T21:00:00Z</dcterms:modified>
</cp:coreProperties>
</file>