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96"/>
        <w:jc w:val="left"/>
        <w:rPr/>
      </w:pPr>
      <w:r>
        <w:rPr>
          <w:rFonts w:eastAsia="Arial" w:cs="Arial"/>
          <w:b/>
          <w:szCs w:val="22"/>
        </w:rPr>
        <w:t>Supplementary File 1 for</w:t>
      </w:r>
    </w:p>
    <w:p>
      <w:pPr>
        <w:pStyle w:val="Normal"/>
        <w:spacing w:before="0" w:after="96"/>
        <w:jc w:val="center"/>
        <w:rPr/>
      </w:pPr>
      <w:r>
        <w:rPr>
          <w:rFonts w:eastAsia="Arial" w:cs="Arial"/>
          <w:b/>
          <w:szCs w:val="22"/>
        </w:rPr>
        <w:t>Collateral Sensitivity Associated with Antibiotic Resistance Plasmids</w:t>
      </w:r>
    </w:p>
    <w:p>
      <w:pPr>
        <w:pStyle w:val="Normal"/>
        <w:spacing w:before="0" w:after="96"/>
        <w:jc w:val="center"/>
        <w:rPr/>
      </w:pPr>
      <w:r>
        <w:rPr>
          <w:rFonts w:eastAsia="Arial" w:cs="Arial"/>
          <w:color w:val="000000"/>
          <w:szCs w:val="22"/>
          <w:lang w:val="es-ES"/>
        </w:rPr>
        <w:t>Cristina Herencias</w:t>
      </w:r>
      <w:r>
        <w:rPr>
          <w:rFonts w:eastAsia="Arial" w:cs="Arial"/>
          <w:color w:val="000000"/>
          <w:szCs w:val="22"/>
          <w:vertAlign w:val="superscript"/>
          <w:lang w:val="es-ES"/>
        </w:rPr>
        <w:t>1,a</w:t>
      </w:r>
      <w:r>
        <w:rPr>
          <w:rFonts w:eastAsia="Arial" w:cs="Arial"/>
          <w:color w:val="000000"/>
          <w:szCs w:val="22"/>
          <w:lang w:val="es-ES"/>
        </w:rPr>
        <w:t>, Jerónimo Rodríguez-Beltrán</w:t>
      </w:r>
      <w:r>
        <w:rPr>
          <w:rFonts w:eastAsia="Arial" w:cs="Arial"/>
          <w:color w:val="000000"/>
          <w:szCs w:val="22"/>
          <w:vertAlign w:val="superscript"/>
          <w:lang w:val="es-ES"/>
        </w:rPr>
        <w:t>1,2,a,</w:t>
      </w:r>
      <w:r>
        <w:rPr>
          <w:rFonts w:eastAsia="Arial" w:cs="Arial"/>
          <w:color w:val="000000"/>
          <w:szCs w:val="22"/>
          <w:lang w:val="es-ES"/>
        </w:rPr>
        <w:t>*, Ricardo León-Sa</w:t>
      </w:r>
      <w:r>
        <w:rPr>
          <w:rFonts w:eastAsia="Arial" w:cs="Arial"/>
          <w:szCs w:val="22"/>
          <w:lang w:val="es-ES"/>
        </w:rPr>
        <w:t>mpedro</w:t>
      </w:r>
      <w:r>
        <w:rPr>
          <w:rFonts w:eastAsia="Arial" w:cs="Arial"/>
          <w:szCs w:val="22"/>
          <w:vertAlign w:val="superscript"/>
          <w:lang w:val="es-ES"/>
        </w:rPr>
        <w:t>1,2</w:t>
      </w:r>
      <w:r>
        <w:rPr>
          <w:rFonts w:eastAsia="Arial" w:cs="Arial"/>
          <w:szCs w:val="22"/>
          <w:lang w:val="es-ES"/>
        </w:rPr>
        <w:t>, Aida Alonso-del Valle</w:t>
      </w:r>
      <w:r>
        <w:rPr>
          <w:rFonts w:eastAsia="Arial" w:cs="Arial"/>
          <w:szCs w:val="22"/>
          <w:vertAlign w:val="superscript"/>
          <w:lang w:val="es-ES"/>
        </w:rPr>
        <w:t>1</w:t>
      </w:r>
      <w:r>
        <w:rPr>
          <w:rFonts w:eastAsia="Arial" w:cs="Arial"/>
          <w:szCs w:val="22"/>
          <w:lang w:val="es-ES"/>
        </w:rPr>
        <w:t>, Jana Palkovičová</w:t>
      </w:r>
      <w:r>
        <w:rPr>
          <w:rFonts w:eastAsia="Arial" w:cs="Arial"/>
          <w:szCs w:val="22"/>
          <w:vertAlign w:val="superscript"/>
          <w:lang w:val="es-ES"/>
        </w:rPr>
        <w:t>3</w:t>
      </w:r>
      <w:r>
        <w:rPr>
          <w:rFonts w:eastAsia="Arial" w:cs="Arial"/>
          <w:szCs w:val="22"/>
          <w:lang w:val="es-ES"/>
        </w:rPr>
        <w:t>, Rafael Cantón</w:t>
      </w:r>
      <w:r>
        <w:rPr>
          <w:rFonts w:eastAsia="Arial" w:cs="Arial"/>
          <w:szCs w:val="22"/>
          <w:vertAlign w:val="superscript"/>
          <w:lang w:val="es-ES"/>
        </w:rPr>
        <w:t>1,4</w:t>
      </w:r>
      <w:r>
        <w:rPr>
          <w:rFonts w:eastAsia="Arial" w:cs="Arial"/>
          <w:szCs w:val="22"/>
          <w:lang w:val="es-ES"/>
        </w:rPr>
        <w:t>, Álvaro San Millán</w:t>
      </w:r>
      <w:r>
        <w:rPr>
          <w:rFonts w:eastAsia="Arial" w:cs="Arial"/>
          <w:szCs w:val="22"/>
          <w:vertAlign w:val="superscript"/>
          <w:lang w:val="es-ES"/>
        </w:rPr>
        <w:t>1,2,5</w:t>
      </w:r>
      <w:r>
        <w:rPr>
          <w:rFonts w:eastAsia="Arial" w:cs="Arial"/>
          <w:color w:val="000000"/>
          <w:szCs w:val="22"/>
          <w:vertAlign w:val="superscript"/>
          <w:lang w:val="es-ES"/>
        </w:rPr>
        <w:t>,</w:t>
      </w:r>
      <w:r>
        <w:rPr>
          <w:rFonts w:eastAsia="Arial" w:cs="Arial"/>
          <w:color w:val="000000"/>
          <w:szCs w:val="22"/>
          <w:lang w:val="es-ES"/>
        </w:rPr>
        <w:t>*</w:t>
      </w:r>
      <w:r>
        <w:rPr>
          <w:rFonts w:eastAsia="Arial" w:cs="Arial"/>
          <w:szCs w:val="22"/>
          <w:lang w:val="es-ES"/>
        </w:rPr>
        <w:t xml:space="preserve">. 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  <w:lang w:val="es-ES"/>
        </w:rPr>
        <w:t>1</w:t>
      </w:r>
      <w:r>
        <w:rPr>
          <w:rFonts w:eastAsia="Arial" w:cs="Arial"/>
          <w:szCs w:val="22"/>
          <w:lang w:val="es-ES"/>
        </w:rPr>
        <w:t xml:space="preserve"> </w:t>
      </w:r>
      <w:r>
        <w:rPr>
          <w:rFonts w:eastAsia="Arial" w:cs="Arial"/>
          <w:i/>
          <w:szCs w:val="22"/>
          <w:lang w:val="es-ES"/>
        </w:rPr>
        <w:t>Servicio de Microbiología. Hospital Universitario Ramón y Cajal</w:t>
      </w:r>
      <w:r>
        <w:rPr>
          <w:rFonts w:eastAsia="Arial" w:cs="Arial"/>
          <w:szCs w:val="22"/>
          <w:lang w:val="es-ES"/>
        </w:rPr>
        <w:t xml:space="preserve"> and</w:t>
      </w:r>
      <w:r>
        <w:rPr>
          <w:rFonts w:eastAsia="Arial" w:cs="Arial"/>
          <w:i/>
          <w:szCs w:val="22"/>
          <w:lang w:val="es-ES"/>
        </w:rPr>
        <w:t xml:space="preserve"> Instituto Ramón y Cajal de Investigación Sanitaria</w:t>
      </w:r>
      <w:r>
        <w:rPr>
          <w:rFonts w:eastAsia="Arial" w:cs="Arial"/>
          <w:szCs w:val="22"/>
          <w:lang w:val="es-ES"/>
        </w:rPr>
        <w:t>. Madrid, Spain.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  <w:lang w:val="es-ES"/>
        </w:rPr>
        <w:t>2</w:t>
      </w:r>
      <w:r>
        <w:rPr>
          <w:rFonts w:eastAsia="Arial" w:cs="Arial"/>
          <w:szCs w:val="22"/>
          <w:lang w:val="es-ES"/>
        </w:rPr>
        <w:t xml:space="preserve"> </w:t>
      </w:r>
      <w:r>
        <w:rPr>
          <w:rFonts w:eastAsia="Arial" w:cs="Arial"/>
          <w:i/>
          <w:szCs w:val="22"/>
          <w:lang w:val="es-ES"/>
        </w:rPr>
        <w:t>Centro de Investigación Biológica en Red</w:t>
      </w:r>
      <w:r>
        <w:rPr>
          <w:rFonts w:eastAsia="Arial" w:cs="Arial"/>
          <w:szCs w:val="22"/>
          <w:lang w:val="es-ES"/>
        </w:rPr>
        <w:t xml:space="preserve"> </w:t>
      </w:r>
      <w:r>
        <w:rPr>
          <w:rFonts w:eastAsia="Arial" w:cs="Arial"/>
          <w:i/>
          <w:szCs w:val="22"/>
          <w:lang w:val="es-ES"/>
        </w:rPr>
        <w:t>Epidemiología y Salud Pública</w:t>
      </w:r>
      <w:r>
        <w:rPr>
          <w:rFonts w:eastAsia="Arial" w:cs="Arial"/>
          <w:szCs w:val="22"/>
          <w:lang w:val="es-ES"/>
        </w:rPr>
        <w:t xml:space="preserve">, </w:t>
      </w:r>
      <w:r>
        <w:rPr>
          <w:rFonts w:eastAsia="Arial" w:cs="Arial"/>
          <w:i/>
          <w:szCs w:val="22"/>
          <w:lang w:val="es-ES"/>
        </w:rPr>
        <w:t>Instituto de Salud Carlos III</w:t>
      </w:r>
      <w:r>
        <w:rPr>
          <w:rFonts w:eastAsia="Arial" w:cs="Arial"/>
          <w:szCs w:val="22"/>
          <w:lang w:val="es-ES"/>
        </w:rPr>
        <w:t xml:space="preserve">. </w:t>
      </w:r>
      <w:r>
        <w:rPr>
          <w:rFonts w:eastAsia="Arial" w:cs="Arial"/>
          <w:szCs w:val="22"/>
        </w:rPr>
        <w:t>Madrid. Spain.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</w:rPr>
        <w:t xml:space="preserve">3 </w:t>
      </w:r>
      <w:r>
        <w:rPr>
          <w:rFonts w:eastAsia="Arial" w:cs="Arial"/>
          <w:szCs w:val="22"/>
        </w:rPr>
        <w:t>Department of Biology and Wildlife Diseases, Faculty of Veterinary Hygiene and Ecology, University of Veterinary and Pharmaceutical Sciences Brno, Czech Republic.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  <w:lang w:val="es-ES"/>
        </w:rPr>
        <w:t xml:space="preserve">4 </w:t>
      </w:r>
      <w:r>
        <w:rPr>
          <w:rFonts w:eastAsia="Arial" w:cs="Arial"/>
          <w:i/>
          <w:szCs w:val="22"/>
          <w:lang w:val="es-ES"/>
        </w:rPr>
        <w:t>Red Española de Investigación en Patología Infecciosa</w:t>
      </w:r>
      <w:r>
        <w:rPr>
          <w:rFonts w:eastAsia="Arial" w:cs="Arial"/>
          <w:szCs w:val="22"/>
          <w:lang w:val="es-ES"/>
        </w:rPr>
        <w:t xml:space="preserve">. </w:t>
      </w:r>
      <w:r>
        <w:rPr>
          <w:rFonts w:eastAsia="Arial" w:cs="Arial"/>
          <w:i/>
          <w:szCs w:val="22"/>
          <w:lang w:val="es-ES"/>
        </w:rPr>
        <w:t>Instituto de Salud Carlos III</w:t>
      </w:r>
      <w:r>
        <w:rPr>
          <w:rFonts w:eastAsia="Arial" w:cs="Arial"/>
          <w:szCs w:val="22"/>
          <w:lang w:val="es-ES"/>
        </w:rPr>
        <w:t xml:space="preserve">. </w:t>
      </w:r>
      <w:r>
        <w:rPr>
          <w:rFonts w:eastAsia="Arial" w:cs="Arial"/>
          <w:szCs w:val="22"/>
        </w:rPr>
        <w:t>Madrid. Spain.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  <w:lang w:val="es-ES"/>
        </w:rPr>
        <w:t xml:space="preserve">5 </w:t>
      </w:r>
      <w:r>
        <w:rPr>
          <w:rFonts w:eastAsia="Arial" w:cs="Arial"/>
          <w:i/>
          <w:iCs/>
          <w:szCs w:val="22"/>
          <w:lang w:val="es-ES"/>
        </w:rPr>
        <w:t>Centro Nacional de Biotecnología-CSIC</w:t>
      </w:r>
      <w:r>
        <w:rPr>
          <w:rFonts w:eastAsia="Arial" w:cs="Arial"/>
          <w:szCs w:val="22"/>
          <w:lang w:val="es-ES"/>
        </w:rPr>
        <w:t>, Madrid, Spain.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  <w:vertAlign w:val="superscript"/>
        </w:rPr>
        <w:t>a</w:t>
      </w:r>
      <w:r>
        <w:rPr>
          <w:rFonts w:eastAsia="Arial" w:cs="Arial"/>
          <w:szCs w:val="22"/>
        </w:rPr>
        <w:t xml:space="preserve"> These authors contributed equally to this study and should be regarded as joint first authors.</w:t>
      </w:r>
    </w:p>
    <w:p>
      <w:pPr>
        <w:pStyle w:val="Normal"/>
        <w:spacing w:before="0" w:after="96"/>
        <w:rPr/>
      </w:pPr>
      <w:r>
        <w:rPr>
          <w:rFonts w:eastAsia="Arial" w:cs="Arial"/>
          <w:szCs w:val="22"/>
        </w:rPr>
        <w:t xml:space="preserve">* Correspondence: </w:t>
      </w:r>
      <w:hyperlink r:id="rId2">
        <w:r>
          <w:rPr>
            <w:rStyle w:val="InternetLink"/>
          </w:rPr>
          <w:t>asanmillan@cnb.csic.es</w:t>
        </w:r>
      </w:hyperlink>
      <w:r>
        <w:rPr>
          <w:rFonts w:eastAsia="Arial" w:cs="Arial"/>
          <w:szCs w:val="22"/>
        </w:rPr>
        <w:t xml:space="preserve">, </w:t>
      </w:r>
      <w:hyperlink r:id="rId3">
        <w:r>
          <w:rPr>
            <w:rStyle w:val="InternetLink"/>
            <w:rFonts w:eastAsia="Arial" w:cs="Arial"/>
            <w:szCs w:val="22"/>
          </w:rPr>
          <w:t>jeronimo.rodriguez.beltran@gmail.com</w:t>
        </w:r>
      </w:hyperlink>
    </w:p>
    <w:p>
      <w:pPr>
        <w:pStyle w:val="Normal"/>
        <w:spacing w:before="0" w:after="96"/>
        <w:rPr>
          <w:rFonts w:eastAsia="Arial" w:cs="Arial"/>
          <w:szCs w:val="22"/>
        </w:rPr>
      </w:pPr>
      <w:r>
        <w:rPr>
          <w:rFonts w:eastAsia="Arial" w:cs="Arial"/>
          <w:szCs w:val="22"/>
        </w:rPr>
      </w:r>
      <w:r>
        <w:br w:type="page"/>
      </w:r>
    </w:p>
    <w:p>
      <w:pPr>
        <w:pStyle w:val="Heading2"/>
        <w:rPr/>
      </w:pPr>
      <w:r>
        <w:rPr/>
        <w:t>Supplementary file 1A. Antibiotic susceptibility results</w:t>
      </w:r>
    </w:p>
    <w:tbl>
      <w:tblPr>
        <w:tblW w:w="10488" w:type="dxa"/>
        <w:jc w:val="left"/>
        <w:tblInd w:w="-500" w:type="dxa"/>
        <w:tblCellMar>
          <w:top w:w="55" w:type="dxa"/>
          <w:left w:w="62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61"/>
        <w:gridCol w:w="1515"/>
        <w:gridCol w:w="554"/>
        <w:gridCol w:w="655"/>
        <w:gridCol w:w="955"/>
        <w:gridCol w:w="915"/>
        <w:gridCol w:w="1023"/>
        <w:gridCol w:w="899"/>
        <w:gridCol w:w="914"/>
        <w:gridCol w:w="1196"/>
      </w:tblGrid>
      <w:tr>
        <w:trPr>
          <w:trHeight w:val="300" w:hRule="atLeast"/>
        </w:trPr>
        <w:tc>
          <w:tcPr>
            <w:tcW w:w="1861" w:type="dxa"/>
            <w:tcBorders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</w:r>
          </w:p>
        </w:tc>
        <w:tc>
          <w:tcPr>
            <w:tcW w:w="8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eastAsia="Times New Roman" w:cs="Arial"/>
                <w:b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Minimal inhibitory concentration (mg/L)</w:t>
            </w:r>
          </w:p>
        </w:tc>
      </w:tr>
      <w:tr>
        <w:trPr>
          <w:trHeight w:val="300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 class/target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b/>
                <w:b/>
                <w:b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_tradnl"/>
              </w:rPr>
              <w:t>Antibiotics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pOXA-48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pKAZ3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pKA2Q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pCF12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pCEMR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MG1655/</w:t>
            </w:r>
          </w:p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pKP-M1144</w:t>
            </w:r>
          </w:p>
        </w:tc>
      </w:tr>
      <w:tr>
        <w:trPr>
          <w:trHeight w:val="300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MH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LB</w:t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26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mphasis"/>
                <w:rFonts w:eastAsia="Arial" w:cs="Arial"/>
                <w:color w:val="000000"/>
                <w:sz w:val="18"/>
                <w:szCs w:val="18"/>
              </w:rPr>
              <w:t>Β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-lactam/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Cell wall synthesis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Amoxicillin-clavulanic acid (AMC)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&gt;512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256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512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384</w:t>
            </w:r>
          </w:p>
        </w:tc>
      </w:tr>
      <w:tr>
        <w:trPr>
          <w:trHeight w:val="566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Cefotaxime (CTX)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0.03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0.375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</w:tr>
      <w:tr>
        <w:trPr>
          <w:trHeight w:val="774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Ceftazidime (CAZ)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0.375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</w:tr>
      <w:tr>
        <w:trPr>
          <w:trHeight w:val="781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Ertapenem (ERT)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0.01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0.062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0.187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0.507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0.125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0.125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0.25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0.75</w:t>
            </w:r>
          </w:p>
        </w:tc>
      </w:tr>
      <w:tr>
        <w:trPr>
          <w:trHeight w:val="620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Aminoglycoside/ Protein synthesis (30S)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Gentamicin (GM)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Kanamycin</w:t>
            </w:r>
          </w:p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(KM)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24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288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24</w:t>
            </w:r>
          </w:p>
        </w:tc>
      </w:tr>
      <w:tr>
        <w:trPr>
          <w:trHeight w:val="549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Tetracycline/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Protein synthesis (30S)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Tetracycline (TET)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32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1.5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Tigecycline (TGC)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Amphenicol/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Protein synthesis (50S)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Chloramphenicol (CM)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Macrolide/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Protein synthesis (50S)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Azithromycin (AZI)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Quinolone/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DNA gyrase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Ciprofloxacin (CIP)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0.5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0.75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Rifamycin/</w:t>
            </w:r>
          </w:p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RNA polymerase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Rifampicin (RIF)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24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16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256</w:t>
            </w:r>
          </w:p>
        </w:tc>
      </w:tr>
      <w:tr>
        <w:trPr>
          <w:trHeight w:val="300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Polymyxin/ Lipopolysaccharide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Colistin (COL)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_tradnl"/>
              </w:rPr>
              <w:t>6</w:t>
            </w:r>
          </w:p>
        </w:tc>
      </w:tr>
    </w:tbl>
    <w:p>
      <w:pPr>
        <w:pStyle w:val="Normal"/>
        <w:widowControl w:val="false"/>
        <w:spacing w:before="0" w:after="96"/>
        <w:rPr/>
      </w:pPr>
      <w:r>
        <w:rPr>
          <w:rFonts w:eastAsia="Times New Roman" w:cs="Arial"/>
          <w:color w:val="000000"/>
          <w:szCs w:val="22"/>
          <w:lang w:val="en-GB"/>
        </w:rPr>
        <w:t xml:space="preserve">MIC of the 13 antibiotics for </w:t>
      </w:r>
      <w:r>
        <w:rPr>
          <w:rFonts w:eastAsia="Times New Roman" w:cs="Arial"/>
          <w:i/>
          <w:iCs/>
          <w:color w:val="000000"/>
          <w:szCs w:val="22"/>
          <w:lang w:val="en-GB"/>
        </w:rPr>
        <w:t xml:space="preserve">E. </w:t>
      </w:r>
      <w:r>
        <w:rPr>
          <w:rFonts w:eastAsia="Times New Roman" w:cs="Arial"/>
          <w:color w:val="000000"/>
          <w:szCs w:val="22"/>
          <w:lang w:val="en-GB"/>
        </w:rPr>
        <w:t>coli MG1655 in LB and MH medium and the MIC of the six plasmid-carrying MG1655 strains in LB medium. Median value of 4-5 independent biological replicates.</w:t>
      </w:r>
    </w:p>
    <w:p>
      <w:pPr>
        <w:pStyle w:val="Normal"/>
        <w:rPr>
          <w:rFonts w:eastAsia="Times New Roman" w:cs="Arial"/>
          <w:color w:val="000000"/>
          <w:szCs w:val="22"/>
          <w:lang w:val="en-GB"/>
        </w:rPr>
      </w:pPr>
      <w:r>
        <w:rPr>
          <w:rFonts w:eastAsia="Times New Roman" w:cs="Arial"/>
          <w:color w:val="000000"/>
          <w:szCs w:val="22"/>
          <w:lang w:val="en-GB"/>
        </w:rPr>
      </w:r>
      <w:r>
        <w:br w:type="page"/>
      </w:r>
    </w:p>
    <w:p>
      <w:pPr>
        <w:pStyle w:val="Heading2"/>
        <w:rPr/>
      </w:pPr>
      <w:r>
        <w:rPr/>
        <w:t>Supplementary file 1B. ANOVA results of the growth curves of plasmids producing CS effects</w:t>
      </w:r>
    </w:p>
    <w:tbl>
      <w:tblPr>
        <w:tblW w:w="6921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41"/>
        <w:gridCol w:w="1548"/>
        <w:gridCol w:w="1043"/>
        <w:gridCol w:w="1888"/>
      </w:tblGrid>
      <w:tr>
        <w:trPr>
          <w:trHeight w:val="454" w:hRule="atLeast"/>
        </w:trPr>
        <w:tc>
          <w:tcPr>
            <w:tcW w:w="244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</w:p>
        </w:tc>
        <w:tc>
          <w:tcPr>
            <w:tcW w:w="4479" w:type="dxa"/>
            <w:gridSpan w:val="3"/>
            <w:tcBorders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Area under the growth curve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 xml:space="preserve">Plasmid/Antibiotic 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P-val</w:t>
            </w:r>
          </w:p>
        </w:tc>
        <w:tc>
          <w:tcPr>
            <w:tcW w:w="10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df</w:t>
            </w:r>
          </w:p>
        </w:tc>
        <w:tc>
          <w:tcPr>
            <w:tcW w:w="1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F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pCF12/AZI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&lt;0.000001</w:t>
            </w:r>
          </w:p>
        </w:tc>
        <w:tc>
          <w:tcPr>
            <w:tcW w:w="1043" w:type="dxa"/>
            <w:tcBorders>
              <w:top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top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46.435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pCF12/KM</w:t>
            </w:r>
          </w:p>
        </w:tc>
        <w:tc>
          <w:tcPr>
            <w:tcW w:w="1548" w:type="dxa"/>
            <w:tcBorders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0.000008</w:t>
            </w:r>
          </w:p>
        </w:tc>
        <w:tc>
          <w:tcPr>
            <w:tcW w:w="10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8.859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pKA2Q/TET</w:t>
            </w:r>
          </w:p>
        </w:tc>
        <w:tc>
          <w:tcPr>
            <w:tcW w:w="1548" w:type="dxa"/>
            <w:tcBorders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0.460776</w:t>
            </w:r>
          </w:p>
        </w:tc>
        <w:tc>
          <w:tcPr>
            <w:tcW w:w="10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0.878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pKAZ3/GM</w:t>
            </w:r>
          </w:p>
        </w:tc>
        <w:tc>
          <w:tcPr>
            <w:tcW w:w="1548" w:type="dxa"/>
            <w:tcBorders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0.264279</w:t>
            </w:r>
          </w:p>
        </w:tc>
        <w:tc>
          <w:tcPr>
            <w:tcW w:w="10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1.368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pKAZ3/KM</w:t>
            </w:r>
          </w:p>
        </w:tc>
        <w:tc>
          <w:tcPr>
            <w:tcW w:w="1548" w:type="dxa"/>
            <w:tcBorders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0.025920</w:t>
            </w:r>
          </w:p>
        </w:tc>
        <w:tc>
          <w:tcPr>
            <w:tcW w:w="10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3.383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pOXA-48/AZI</w:t>
            </w:r>
          </w:p>
        </w:tc>
        <w:tc>
          <w:tcPr>
            <w:tcW w:w="1548" w:type="dxa"/>
            <w:tcBorders>
              <w:lef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&lt;0.000001</w:t>
            </w:r>
          </w:p>
        </w:tc>
        <w:tc>
          <w:tcPr>
            <w:tcW w:w="1043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12.664</w:t>
            </w:r>
          </w:p>
        </w:tc>
      </w:tr>
      <w:tr>
        <w:trPr>
          <w:trHeight w:val="454" w:hRule="atLeast"/>
        </w:trPr>
        <w:tc>
          <w:tcPr>
            <w:tcW w:w="24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pOXA-48/COL</w:t>
            </w:r>
          </w:p>
        </w:tc>
        <w:tc>
          <w:tcPr>
            <w:tcW w:w="1548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&lt;0.000001</w:t>
            </w:r>
          </w:p>
        </w:tc>
        <w:tc>
          <w:tcPr>
            <w:tcW w:w="1043" w:type="dxa"/>
            <w:tcBorders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88" w:type="dxa"/>
            <w:tcBorders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2"/>
              </w:rPr>
              <w:t>5.9618</w:t>
            </w:r>
          </w:p>
        </w:tc>
      </w:tr>
    </w:tbl>
    <w:p>
      <w:pPr>
        <w:pStyle w:val="Normal"/>
        <w:rPr/>
      </w:pPr>
      <w:r>
        <w:rPr>
          <w:szCs w:val="22"/>
        </w:rPr>
        <w:t>Results of the ‘plasmid x antibiotic concentration’ interaction term of ANOVA analyses for each plasmid-antibiotic combination.</w:t>
      </w:r>
      <w:r>
        <w:br w:type="page"/>
      </w:r>
    </w:p>
    <w:p>
      <w:pPr>
        <w:pStyle w:val="Heading2"/>
        <w:rPr/>
      </w:pPr>
      <w:r>
        <w:rPr>
          <w:rFonts w:eastAsia="Arial" w:cs="Arial"/>
          <w:szCs w:val="22"/>
        </w:rPr>
        <w:t>Supplementary file 1C. Chromosomal mutations accumulated during plasmid acquisition.</w:t>
      </w:r>
    </w:p>
    <w:tbl>
      <w:tblPr>
        <w:tblW w:w="9975" w:type="dxa"/>
        <w:jc w:val="left"/>
        <w:tblInd w:w="-231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19"/>
        <w:gridCol w:w="915"/>
        <w:gridCol w:w="1429"/>
        <w:gridCol w:w="820"/>
        <w:gridCol w:w="981"/>
        <w:gridCol w:w="1501"/>
        <w:gridCol w:w="1336"/>
        <w:gridCol w:w="1472"/>
      </w:tblGrid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Gene product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Position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Reference</w:t>
            </w:r>
            <w:r>
              <w:rPr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Alternative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0"/>
                <w:szCs w:val="20"/>
              </w:rPr>
              <w:t>Effect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MG1655/pKP-M1144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i/>
                <w:iCs/>
                <w:sz w:val="20"/>
                <w:szCs w:val="20"/>
              </w:rPr>
              <w:t>gadB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Glutamate decarboxylase beta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SNP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642/1401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Synonymous (Thr214Thr)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MG1655/pKP-M1144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selB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Selenocysteine-specific elongation factor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SNP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1256/1845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Missense (Trp419Leu)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MG1655/pCEMR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ppk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Polyphosphate kinase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SNP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1488/2067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Synonymous (Arg496Arg)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MG1655/pCEMR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selB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Selenocysteine-specific elongation factor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SNP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1256/1845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Missense (Trp419Leu)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MG1655/pKA2Q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cpxA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Sensor histidine kinase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SNP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515/1374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Missense (Met172Thr)</w:t>
            </w:r>
          </w:p>
        </w:tc>
      </w:tr>
      <w:tr>
        <w:trPr/>
        <w:tc>
          <w:tcPr>
            <w:tcW w:w="151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MG1655/pCF12</w:t>
            </w:r>
          </w:p>
        </w:tc>
        <w:tc>
          <w:tcPr>
            <w:tcW w:w="915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Intergenic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Insertion</w:t>
            </w:r>
          </w:p>
        </w:tc>
        <w:tc>
          <w:tcPr>
            <w:tcW w:w="98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1,212,080</w:t>
            </w:r>
          </w:p>
        </w:tc>
        <w:tc>
          <w:tcPr>
            <w:tcW w:w="1501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AGGGGGGGGT</w:t>
            </w:r>
          </w:p>
        </w:tc>
        <w:tc>
          <w:tcPr>
            <w:tcW w:w="1336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color w:val="CE181E"/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GGGGGGGGT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 w:val="false"/>
        <w:spacing w:before="200" w:after="0"/>
        <w:rPr/>
      </w:pPr>
      <w:r>
        <w:rPr>
          <w:rFonts w:eastAsia="Arial" w:cs="Arial"/>
          <w:b/>
          <w:bCs/>
          <w:szCs w:val="22"/>
          <w:vertAlign w:val="superscript"/>
        </w:rPr>
        <w:t>A</w:t>
      </w:r>
      <w:r>
        <w:rPr>
          <w:rFonts w:eastAsia="Arial" w:cs="Arial"/>
          <w:szCs w:val="22"/>
        </w:rPr>
        <w:t>Position relative to the start of the open reading frame, except for the intergenic mutation which refers to the chromosomal coordinate.</w:t>
      </w:r>
      <w:r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  <w:vertAlign w:val="superscript"/>
        </w:rPr>
        <w:t>B</w:t>
      </w:r>
      <w:r>
        <w:rPr>
          <w:rFonts w:eastAsia="Arial" w:cs="Arial"/>
          <w:szCs w:val="22"/>
        </w:rPr>
        <w:t xml:space="preserve">Reference genome is plasmid-free MG1655 (deposited in </w:t>
      </w:r>
      <w:r>
        <w:rPr>
          <w:rFonts w:eastAsia="Times New Roman" w:cs="Arial"/>
          <w:color w:val="000000"/>
          <w:szCs w:val="22"/>
          <w:lang w:val="en-GB"/>
        </w:rPr>
        <w:t>Sequence Read Archive [SRA], BioProject ID: PRJNA644278)</w:t>
      </w:r>
    </w:p>
    <w:p>
      <w:pPr>
        <w:pStyle w:val="Normal"/>
        <w:widowControl w:val="false"/>
        <w:spacing w:before="200" w:after="0"/>
        <w:rPr>
          <w:rFonts w:eastAsia="Times New Roman" w:cs="Arial"/>
          <w:color w:val="000000"/>
          <w:szCs w:val="22"/>
          <w:lang w:val="en-GB"/>
        </w:rPr>
      </w:pPr>
      <w:r>
        <w:rPr>
          <w:rFonts w:eastAsia="Times New Roman" w:cs="Arial"/>
          <w:color w:val="000000"/>
          <w:szCs w:val="22"/>
          <w:lang w:val="en-GB"/>
        </w:rPr>
      </w:r>
      <w:r>
        <w:br w:type="page"/>
      </w:r>
    </w:p>
    <w:p>
      <w:pPr>
        <w:pStyle w:val="Heading2"/>
        <w:rPr/>
      </w:pPr>
      <w:r>
        <w:rPr>
          <w:szCs w:val="22"/>
        </w:rPr>
        <w:t xml:space="preserve">Supplementary file 1D. Characteristics of the </w:t>
      </w:r>
      <w:r>
        <w:rPr>
          <w:i/>
          <w:iCs/>
          <w:szCs w:val="22"/>
        </w:rPr>
        <w:t>E. coli</w:t>
      </w:r>
      <w:r>
        <w:rPr>
          <w:szCs w:val="22"/>
        </w:rPr>
        <w:t xml:space="preserve"> clinical isolates used in this study.</w:t>
      </w:r>
    </w:p>
    <w:tbl>
      <w:tblPr>
        <w:tblW w:w="10188" w:type="dxa"/>
        <w:jc w:val="left"/>
        <w:tblInd w:w="-208" w:type="dxa"/>
        <w:tblCellMar>
          <w:top w:w="55" w:type="dxa"/>
          <w:left w:w="53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55"/>
        <w:gridCol w:w="1361"/>
        <w:gridCol w:w="1189"/>
        <w:gridCol w:w="2902"/>
        <w:gridCol w:w="3781"/>
      </w:tblGrid>
      <w:tr>
        <w:trPr>
          <w:trHeight w:val="450" w:hRule="atLeast"/>
        </w:trPr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Cs w:val="22"/>
              </w:rPr>
              <w:t>Strain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Cs w:val="22"/>
              </w:rPr>
              <w:t>Phylogroup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Cs w:val="22"/>
              </w:rPr>
              <w:t>Sequence Type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Cs w:val="22"/>
              </w:rPr>
              <w:t>Plasmids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Cs w:val="22"/>
              </w:rPr>
              <w:t>Resistance genes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Ec02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B1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453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IncFIB, IncI, IncFIC, IncY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aadA5, blaCTX-M-1, blaTEM-1B, dfrA17, sul2, tet(B),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Ec03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B2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131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IncFIB, IncFII, IncB/O/K/Z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blaCTX-M-14, blaTEM-1B, mdf(A)</w:t>
            </w:r>
          </w:p>
        </w:tc>
      </w:tr>
      <w:tr>
        <w:trPr>
          <w:trHeight w:val="1886" w:hRule="atLeast"/>
        </w:trPr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Ec04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B2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131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IncFIB, IncFII, IncFIA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aadA5, aph(3'')-Ib, aph(6)-Id, blaCTX-M-14, blaTEM-1B, dfrA17, mph(A), sul1, sul2, tet(A),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Ec06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A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10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IncFII, IncI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aadA5, blaCTX-M-1, sul2, tet(A),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Ec10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D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69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IncFII, pEC4115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aac(3)-Iva, aph(3'')-Ib, aph(4)-Ia, aph(6)-Id, blaCTX-M-1, mph(A),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Ec18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F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648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IncY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  <w:lang w:val="es-ES"/>
              </w:rPr>
              <w:t>aadA5, blaCTX-M-14, dfrA17, mph(A), sul1,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Ec20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B2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131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IncFIB, IncI, IncFIA, IncFIC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aac(3)-Iid, blaCTX-M-15, blaTEM-1B,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Ec21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D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405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Col-like, IncFIB, IncFII, IncFIA, p0111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aac(3)-Iia, aph(3'')-Ib, aph(6)-Id, blaCTX-M-15, floR, sul2, tet(A), tet(B), mdf(A)</w:t>
            </w:r>
          </w:p>
        </w:tc>
      </w:tr>
      <w:tr>
        <w:trPr/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Ec25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A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szCs w:val="22"/>
              </w:rPr>
              <w:t>10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2"/>
              </w:rPr>
              <w:t>IncFIB, IncFII, IncX, IncFIC</w:t>
            </w:r>
          </w:p>
        </w:tc>
        <w:tc>
          <w:tcPr>
            <w:tcW w:w="3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szCs w:val="22"/>
              </w:rPr>
              <w:t>aph(3')-Ia, aph(6)-Id, blaCTX-M-3, dfrA14, fosA3, sul2, mdf(A)</w:t>
            </w:r>
          </w:p>
        </w:tc>
      </w:tr>
    </w:tbl>
    <w:p>
      <w:pPr>
        <w:pStyle w:val="TextBody"/>
        <w:spacing w:before="0" w:after="140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47" w:gutter="0"/>
      <w:lnNumType w:countBy="1" w:restart="continuous" w:distance="284"/>
      <w:pgNumType w:start="1"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92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en-U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480" w:before="0" w:after="0"/>
      <w:jc w:val="both"/>
    </w:pPr>
    <w:rPr>
      <w:rFonts w:ascii="Arial" w:hAnsi="Arial" w:eastAsia="Calibri" w:cs="Calibri"/>
      <w:color w:val="00000A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170" w:after="170"/>
      <w:outlineLvl w:val="0"/>
    </w:pPr>
    <w:rPr>
      <w:b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3" w:after="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InternetLink">
    <w:name w:val="Hyperlink"/>
    <w:rPr>
      <w:color w:val="000080"/>
      <w:u w:val="single"/>
    </w:rPr>
  </w:style>
  <w:style w:type="character" w:styleId="Inlinel2heading" w:customStyle="1">
    <w:name w:val="inline-l2-heading"/>
    <w:basedOn w:val="DefaultParagraphFont"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comentarioCar" w:customStyle="1">
    <w:name w:val="Texto comentario Car"/>
    <w:basedOn w:val="DefaultParagraphFont"/>
    <w:qFormat/>
    <w:rPr>
      <w:sz w:val="20"/>
      <w:szCs w:val="20"/>
    </w:rPr>
  </w:style>
  <w:style w:type="character" w:styleId="AsuntodelcomentarioCar" w:customStyle="1">
    <w:name w:val="Asunto del comentario Car"/>
    <w:basedOn w:val="TextocomentarioCar"/>
    <w:qFormat/>
    <w:rPr>
      <w:b/>
      <w:bCs/>
      <w:sz w:val="20"/>
      <w:szCs w:val="20"/>
    </w:rPr>
  </w:style>
  <w:style w:type="character" w:styleId="LineNumbering" w:customStyle="1">
    <w:name w:val="Line Numbering"/>
    <w:rPr/>
  </w:style>
  <w:style w:type="character" w:styleId="FootnoteCharacters" w:customStyle="1">
    <w:name w:val="Footnote Characters"/>
    <w:qFormat/>
    <w:rPr/>
  </w:style>
  <w:style w:type="character" w:styleId="Linenumber">
    <w:name w:val="line number"/>
    <w:basedOn w:val="DefaultParagraphFont"/>
    <w:qFormat/>
    <w:rPr/>
  </w:style>
  <w:style w:type="character" w:styleId="Emphasis">
    <w:name w:val="Emphasis"/>
    <w:qFormat/>
    <w:rPr>
      <w:i/>
      <w:iCs/>
    </w:rPr>
  </w:style>
  <w:style w:type="character" w:styleId="NumberingSymbols" w:customStyle="1">
    <w:name w:val="Numbering Symbols"/>
    <w:qFormat/>
    <w:rPr/>
  </w:style>
  <w:style w:type="character" w:styleId="VisitedInternetLink">
    <w:name w:val="FollowedHyperlink"/>
    <w:basedOn w:val="DefaultParagraphFont"/>
    <w:qFormat/>
    <w:rPr>
      <w:color w:val="954F72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/>
    <w:rPr>
      <w:rFonts w:ascii="Times New Roman" w:hAnsi="Times New Roman" w:cs="Times New Roman"/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en-US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92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92"/>
        <w:tab w:val="center" w:pos="4419" w:leader="none"/>
        <w:tab w:val="right" w:pos="8838" w:leader="none"/>
      </w:tabs>
    </w:pPr>
    <w:rPr>
      <w:sz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anmillan@cnb.csic.es" TargetMode="External"/><Relationship Id="rId3" Type="http://schemas.openxmlformats.org/officeDocument/2006/relationships/hyperlink" Target="mailto:jeronimo.rodriguez.beltran@gmail.com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Application>LibreOffice/6.4.6.2$Linux_X86_64 LibreOffice_project/40$Build-2</Application>
  <Pages>6</Pages>
  <Words>672</Words>
  <Characters>4035</Characters>
  <CharactersWithSpaces>4402</CharactersWithSpaces>
  <Paragraphs>307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2020-11-11T08:38:00Z</dcterms:created>
  <dc:creator>Alvaro San Millan Cruz</dc:creator>
  <dc:description/>
  <dc:language>es-ES</dc:language>
  <cp:lastModifiedBy>Jeronimo Rodriguez Beltran</cp:lastModifiedBy>
  <cp:lastPrinted>2020-11-23T20:08:00Z</cp:lastPrinted>
  <dcterms:modified xsi:type="dcterms:W3CDTF">2021-01-11T18:23:33Z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ndeley Citation Style_1">
    <vt:lpwstr>http://www.zotero.org/styles/elife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Id 2_1">
    <vt:lpwstr>http://www.zotero.org/styles/apa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Id 8_1">
    <vt:lpwstr>http://www.zotero.org/styles/elife</vt:lpwstr>
  </property>
  <property fmtid="{D5CDD505-2E9C-101B-9397-08002B2CF9AE}" pid="18" name="Mendeley Recent Style Id 9_1">
    <vt:lpwstr>http://www.zotero.org/styles/mbio</vt:lpwstr>
  </property>
  <property fmtid="{D5CDD505-2E9C-101B-9397-08002B2CF9AE}" pid="19" name="Mendeley Recent Style Name 0_1">
    <vt:lpwstr>American Medical Association</vt:lpwstr>
  </property>
  <property fmtid="{D5CDD505-2E9C-101B-9397-08002B2CF9AE}" pid="20" name="Mendeley Recent Style Name 1_1">
    <vt:lpwstr>American Political Science Association</vt:lpwstr>
  </property>
  <property fmtid="{D5CDD505-2E9C-101B-9397-08002B2CF9AE}" pid="21" name="Mendeley Recent Style Name 2_1">
    <vt:lpwstr>American Psychological Association 6th edition</vt:lpwstr>
  </property>
  <property fmtid="{D5CDD505-2E9C-101B-9397-08002B2CF9AE}" pid="22" name="Mendeley Recent Style Name 3_1">
    <vt:lpwstr>American Sociological Association</vt:lpwstr>
  </property>
  <property fmtid="{D5CDD505-2E9C-101B-9397-08002B2CF9AE}" pid="23" name="Mendeley Recent Style Name 4_1">
    <vt:lpwstr>Chicago Manual of Style 17th edition (author-date)</vt:lpwstr>
  </property>
  <property fmtid="{D5CDD505-2E9C-101B-9397-08002B2CF9AE}" pid="24" name="Mendeley Recent Style Name 5_1">
    <vt:lpwstr>Harvard reference format 1 (deprecated)</vt:lpwstr>
  </property>
  <property fmtid="{D5CDD505-2E9C-101B-9397-08002B2CF9AE}" pid="25" name="Mendeley Recent Style Name 6_1">
    <vt:lpwstr>IEEE</vt:lpwstr>
  </property>
  <property fmtid="{D5CDD505-2E9C-101B-9397-08002B2CF9AE}" pid="26" name="Mendeley Recent Style Name 7_1">
    <vt:lpwstr>Nature</vt:lpwstr>
  </property>
  <property fmtid="{D5CDD505-2E9C-101B-9397-08002B2CF9AE}" pid="27" name="Mendeley Recent Style Name 8_1">
    <vt:lpwstr>eLife</vt:lpwstr>
  </property>
  <property fmtid="{D5CDD505-2E9C-101B-9397-08002B2CF9AE}" pid="28" name="Mendeley Recent Style Name 9_1">
    <vt:lpwstr>mBio</vt:lpwstr>
  </property>
  <property fmtid="{D5CDD505-2E9C-101B-9397-08002B2CF9AE}" pid="29" name="Mendeley Unique User Id_1">
    <vt:lpwstr>b564b818-cd67-38e6-9925-5f8adab057f5</vt:lpwstr>
  </property>
  <property fmtid="{D5CDD505-2E9C-101B-9397-08002B2CF9AE}" pid="30" name="ScaleCrop">
    <vt:bool>0</vt:bool>
  </property>
  <property fmtid="{D5CDD505-2E9C-101B-9397-08002B2CF9AE}" pid="31" name="ShareDoc">
    <vt:bool>0</vt:bool>
  </property>
</Properties>
</file>