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738488" w14:textId="77777777" w:rsidR="008A16A0" w:rsidRDefault="008A16A0" w:rsidP="008A16A0">
      <w:pPr>
        <w:pStyle w:val="Heading2"/>
        <w:keepNext w:val="0"/>
        <w:keepLines w:val="0"/>
        <w:spacing w:after="2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Supplementary File 1</w:t>
      </w:r>
    </w:p>
    <w:p w14:paraId="52A6CED5" w14:textId="5C221C75" w:rsidR="008A16A0" w:rsidRDefault="008A16A0" w:rsidP="008A16A0">
      <w:pPr>
        <w:rPr>
          <w:rFonts w:ascii="Calibri" w:eastAsia="Calibri" w:hAnsi="Calibri" w:cs="Calibri"/>
          <w:sz w:val="20"/>
          <w:szCs w:val="20"/>
          <w:highlight w:val="white"/>
        </w:rPr>
      </w:pPr>
      <w:bookmarkStart w:id="0" w:name="_i5rpefnl5ryh" w:colFirst="0" w:colLast="0"/>
      <w:bookmarkEnd w:id="0"/>
      <w:r>
        <w:rPr>
          <w:rFonts w:ascii="Calibri" w:eastAsia="Calibri" w:hAnsi="Calibri" w:cs="Calibri"/>
          <w:b/>
          <w:sz w:val="20"/>
          <w:szCs w:val="20"/>
          <w:highlight w:val="white"/>
        </w:rPr>
        <w:t>Supplementary File 1A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. Quinolone susceptibility and mutations in the quinolone-resistance determining regions of DNA gyrase and topoisomerase IV in </w:t>
      </w:r>
      <w:r>
        <w:rPr>
          <w:rFonts w:ascii="Calibri" w:eastAsia="Calibri" w:hAnsi="Calibri" w:cs="Calibri"/>
          <w:i/>
          <w:sz w:val="20"/>
          <w:szCs w:val="20"/>
          <w:highlight w:val="white"/>
        </w:rPr>
        <w:t>Vibrio cholerae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O1.</w:t>
      </w:r>
    </w:p>
    <w:tbl>
      <w:tblPr>
        <w:tblStyle w:val="a1"/>
        <w:tblW w:w="102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9"/>
        <w:gridCol w:w="1466"/>
        <w:gridCol w:w="1496"/>
        <w:gridCol w:w="703"/>
        <w:gridCol w:w="717"/>
        <w:gridCol w:w="717"/>
        <w:gridCol w:w="717"/>
        <w:gridCol w:w="717"/>
        <w:gridCol w:w="717"/>
        <w:gridCol w:w="717"/>
        <w:gridCol w:w="717"/>
      </w:tblGrid>
      <w:tr w:rsidR="008A16A0" w14:paraId="03C18D78" w14:textId="77777777" w:rsidTr="00540670">
        <w:trPr>
          <w:trHeight w:val="220"/>
        </w:trPr>
        <w:tc>
          <w:tcPr>
            <w:tcW w:w="1537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AAA7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Isolate name</w:t>
            </w:r>
          </w:p>
        </w:tc>
        <w:tc>
          <w:tcPr>
            <w:tcW w:w="2958" w:type="dxa"/>
            <w:gridSpan w:val="2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AA5F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Disc Diffusion</w:t>
            </w:r>
          </w:p>
        </w:tc>
        <w:tc>
          <w:tcPr>
            <w:tcW w:w="5722" w:type="dxa"/>
            <w:gridSpan w:val="8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F951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Mutations</w:t>
            </w:r>
          </w:p>
        </w:tc>
      </w:tr>
      <w:tr w:rsidR="008A16A0" w14:paraId="46753C61" w14:textId="77777777" w:rsidTr="00540670">
        <w:trPr>
          <w:trHeight w:val="220"/>
        </w:trPr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CDD95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5E52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Nalidixic acid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2450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Ciprofloxacin</w:t>
            </w:r>
          </w:p>
        </w:tc>
        <w:tc>
          <w:tcPr>
            <w:tcW w:w="2854" w:type="dxa"/>
            <w:gridSpan w:val="4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F791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proofErr w:type="spellStart"/>
            <w:r>
              <w:rPr>
                <w:i/>
                <w:sz w:val="17"/>
                <w:szCs w:val="17"/>
              </w:rPr>
              <w:t>GyrA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3BBD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proofErr w:type="spellStart"/>
            <w:r>
              <w:rPr>
                <w:i/>
                <w:sz w:val="17"/>
                <w:szCs w:val="17"/>
              </w:rPr>
              <w:t>ParC</w:t>
            </w:r>
            <w:proofErr w:type="spellEnd"/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6EC4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proofErr w:type="spellStart"/>
            <w:r>
              <w:rPr>
                <w:i/>
                <w:sz w:val="17"/>
                <w:szCs w:val="17"/>
              </w:rPr>
              <w:t>GyrB</w:t>
            </w:r>
            <w:proofErr w:type="spellEnd"/>
          </w:p>
        </w:tc>
      </w:tr>
      <w:tr w:rsidR="008A16A0" w14:paraId="7B047D97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A33A7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3C0D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82E8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E35C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1B89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S171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2BD1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S202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AA9F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S412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6A5B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S85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01AB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T142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EA72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D159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CB6A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V665</w:t>
            </w:r>
          </w:p>
        </w:tc>
      </w:tr>
      <w:tr w:rsidR="008A16A0" w14:paraId="7709831A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131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837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927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EE6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A36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828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97D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C7C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37D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7B8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0C9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52C529B3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72C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4F2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3F8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69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1FB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B16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BB6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F38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6A7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D1F7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CF9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560381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A14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E8A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2FA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0EB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107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8A6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D9C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75E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9A6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FE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52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7F16B8CF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458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AD6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F0C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E50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2D0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370C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68D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464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497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0F7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ED9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4A3CE094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EB6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120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870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705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733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1F9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3A0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F0C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203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C07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7C2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1AFAAD88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6EE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4A7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73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BD4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DC0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0D6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E55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07A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C74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6D7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A40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38FF5BA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F4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1CB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A52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93D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AF8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758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B1A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40C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8AD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D41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21F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4E196E83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9BF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145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7EB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B56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0D7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F21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1DF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779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697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291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EF5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0AFFFA7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813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DF5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192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7D8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AE5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E51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DC9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FFA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1E2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D8F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864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5239DBC1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637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9B3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BEB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466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C7C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BA4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8E0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D18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FA5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739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41FE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58115D6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0635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CD7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CF7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AB4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5CC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F8E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B1B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022A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6B1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0B2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5FF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0403A6B5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D82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CA1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05F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8E6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9A1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900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C8B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DC9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09E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2A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7E8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081AE706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15B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FA0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800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BA8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9E0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CD0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89F3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161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935A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954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621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8E886B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7C6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C0E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3CC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9C9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A94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64D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EBA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99A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345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FE6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ED1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DF55E14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A0F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957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EF5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E46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15C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855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E82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D4F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CA3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982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447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03605243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09F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CMR_VC_57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4DB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C23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BC8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6D4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3DA6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B84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617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251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BDC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F7C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583F4CFE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7F3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NER_003_2018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9D7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EB8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235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87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FF1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33C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729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237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25F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270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65D7349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A13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NER_004_2016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B696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6FF1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EB9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02F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05F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68F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A6F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877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2D0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8FD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77061414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84F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NER_004_2018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FD6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55A2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40F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2E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F79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20B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09A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B2A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244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9F4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1C0BC2A9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2B9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NER_005_2018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2D8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2A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5C4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4D0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0BD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179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93F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07C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75D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B2B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6013B1CD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942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NER_023_2018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7B7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ACD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7C1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739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326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3B5B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2A1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6A8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A36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385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6275D3F9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E3C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NER_024_2018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849F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C44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A42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FCC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2AC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F64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8BD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514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138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6DD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7148EBAE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EA9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NER_028_2011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B69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CC9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96A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1C7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DEB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F86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C8C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7F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489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AA1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6BCDF0E2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678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NER_055_2011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511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69B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AE0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013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625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6DE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3BC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A9E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5C6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F3C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9870D12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F4E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NER_071_2011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23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252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3E6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2C5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C1C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C36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BF1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1D6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1E8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15E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E0A3656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305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NER_088_2011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B04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67C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558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934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DA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1D3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4E2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EF9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16A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0DC9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E40735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59A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NER_109_2011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68C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B57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B772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21D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BC3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BA5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4B9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B67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18E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FA5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4E44B5BB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5A2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NER_116_2011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59D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841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62B3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8DF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A85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4EF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9A5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E22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091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171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79D16624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A1B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NER_132_2012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FB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56E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221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2A2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9A1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5DA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1F8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065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D77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5E6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38609B8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7E8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NER_205_2011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8F8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23F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042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4F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EA3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7BB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2FD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177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C0F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A46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48B3CE9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B80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NER_211_2018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AD4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Resistant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6AF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0D4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49E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2F1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5F7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2C3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784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E38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D62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878DD03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24F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NGA_001_2019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FFF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26E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6D8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2A6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CBB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0AB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994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3BD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C17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AC6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6C0D3F74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7DA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NGA_002_2019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470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F62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--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978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E47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DCB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BA5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863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250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309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1F4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10145721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378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NGA_016_2019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2A8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BAF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1AE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D7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881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745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7BE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2E8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EA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345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37DB8FE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53F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NGA_201_2018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454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910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AA6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609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9B4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DAC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55F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9B0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7C3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E1D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0D89341D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B17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NGA_205_2018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80E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8AE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212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AF7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F09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EAC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17D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098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034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405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0382780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E79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NGA_206_2018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833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E27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--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2CF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3CD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164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D73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234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CBF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513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A0D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57650225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2E7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NGA_220_2018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8AB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345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B6FD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F4A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B3D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C91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978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BD4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3A1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8B1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0014E3EC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363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NGA_235_2018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774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D6F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F60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3F6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C40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458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A8C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DED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C44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DB4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61232778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74A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NGA_236_2019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130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757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--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785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B15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591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C0AC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F69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D71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DF4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656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4EE3A5EE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FFD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NGA_247_2018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C750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87E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742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975F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C88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041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B102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83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0F1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0D51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32B06CFE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7C9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NGA_248_2018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B01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9EB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11C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A85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7336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DBC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156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53F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A12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D86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2FDD3532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2A3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NGA_255_2018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111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A2A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Susceptible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DD53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5CAB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E9B4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9992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678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939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F6DA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FCF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  <w:tr w:rsidR="008A16A0" w14:paraId="1480401F" w14:textId="77777777" w:rsidTr="00540670">
        <w:tc>
          <w:tcPr>
            <w:tcW w:w="1537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921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NGA_263_2018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18E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5DB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--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2DF7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399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4B89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</w:p>
        </w:tc>
        <w:tc>
          <w:tcPr>
            <w:tcW w:w="71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BB48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</w:p>
        </w:tc>
        <w:tc>
          <w:tcPr>
            <w:tcW w:w="717" w:type="dxa"/>
            <w:tcBorders>
              <w:top w:val="nil"/>
              <w:left w:val="single" w:sz="4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A44E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ND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1470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C6D5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B16C" w14:textId="77777777" w:rsidR="008A16A0" w:rsidRDefault="008A16A0" w:rsidP="005406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</w:t>
            </w:r>
          </w:p>
        </w:tc>
      </w:tr>
    </w:tbl>
    <w:p w14:paraId="1728AE78" w14:textId="77777777" w:rsidR="008A16A0" w:rsidRDefault="008A16A0" w:rsidP="008A16A0">
      <w:pPr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</w:p>
    <w:p w14:paraId="40A2D04F" w14:textId="23AAA007" w:rsidR="008A16A0" w:rsidRPr="008A16A0" w:rsidRDefault="008A16A0" w:rsidP="008A16A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S: Serine; I: Isoleucine; L: Leucine; A: Alanine; E: </w:t>
      </w: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 xml:space="preserve">Glutamate;  </w:t>
      </w:r>
      <w:r>
        <w:rPr>
          <w:rFonts w:ascii="Calibri" w:eastAsia="Calibri" w:hAnsi="Calibri" w:cs="Calibri"/>
          <w:sz w:val="20"/>
          <w:szCs w:val="20"/>
        </w:rPr>
        <w:t>--</w:t>
      </w:r>
      <w:proofErr w:type="gramEnd"/>
      <w:r>
        <w:rPr>
          <w:rFonts w:ascii="Calibri" w:eastAsia="Calibri" w:hAnsi="Calibri" w:cs="Calibri"/>
          <w:sz w:val="20"/>
          <w:szCs w:val="20"/>
        </w:rPr>
        <w:t>: Not tested; ND: Not Determined.</w:t>
      </w:r>
    </w:p>
    <w:p w14:paraId="0F3EF690" w14:textId="77777777" w:rsidR="008A16A0" w:rsidRDefault="008A16A0" w:rsidP="008A16A0">
      <w:pPr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No mutations in </w:t>
      </w:r>
      <w:proofErr w:type="spellStart"/>
      <w:r>
        <w:rPr>
          <w:rFonts w:ascii="Calibri" w:eastAsia="Calibri" w:hAnsi="Calibri" w:cs="Calibri"/>
          <w:i/>
          <w:sz w:val="20"/>
          <w:szCs w:val="20"/>
          <w:highlight w:val="white"/>
        </w:rPr>
        <w:t>parE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genes were observed compared to the reference peptide sequence (susceptible). The two non-O1 genomes (NGA_148_2019 and NGA_252_2019) were not included in this analysis.</w:t>
      </w:r>
    </w:p>
    <w:p w14:paraId="0E410503" w14:textId="0BA361B2" w:rsidR="008A16A0" w:rsidRPr="008A16A0" w:rsidRDefault="008A16A0" w:rsidP="008A16A0">
      <w:pPr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br w:type="page"/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lastRenderedPageBreak/>
        <w:t>Supplementary File 1B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.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Phenotypic antibiotic resistance profile versus genotypic profile.</w:t>
      </w:r>
    </w:p>
    <w:p w14:paraId="6F69F2EB" w14:textId="77777777" w:rsidR="008A16A0" w:rsidRDefault="008A16A0" w:rsidP="008A16A0">
      <w:pPr>
        <w:rPr>
          <w:rFonts w:ascii="Calibri" w:eastAsia="Calibri" w:hAnsi="Calibri" w:cs="Calibri"/>
          <w:sz w:val="20"/>
          <w:szCs w:val="20"/>
          <w:highlight w:val="white"/>
        </w:rPr>
      </w:pPr>
    </w:p>
    <w:tbl>
      <w:tblPr>
        <w:tblStyle w:val="a2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65"/>
        <w:gridCol w:w="780"/>
        <w:gridCol w:w="780"/>
        <w:gridCol w:w="780"/>
        <w:gridCol w:w="780"/>
        <w:gridCol w:w="765"/>
        <w:gridCol w:w="795"/>
        <w:gridCol w:w="780"/>
        <w:gridCol w:w="795"/>
        <w:gridCol w:w="780"/>
        <w:gridCol w:w="780"/>
      </w:tblGrid>
      <w:tr w:rsidR="008A16A0" w14:paraId="01A07BD5" w14:textId="77777777" w:rsidTr="00540670">
        <w:tc>
          <w:tcPr>
            <w:tcW w:w="14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0F5E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Isolate</w:t>
            </w:r>
          </w:p>
        </w:tc>
        <w:tc>
          <w:tcPr>
            <w:tcW w:w="2325" w:type="dxa"/>
            <w:gridSpan w:val="3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5580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Beta-lactam</w:t>
            </w:r>
          </w:p>
        </w:tc>
        <w:tc>
          <w:tcPr>
            <w:tcW w:w="2325" w:type="dxa"/>
            <w:gridSpan w:val="3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ECDC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Quinolone</w:t>
            </w:r>
          </w:p>
        </w:tc>
        <w:tc>
          <w:tcPr>
            <w:tcW w:w="1575" w:type="dxa"/>
            <w:gridSpan w:val="2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9A32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Phenicol</w:t>
            </w:r>
          </w:p>
        </w:tc>
        <w:tc>
          <w:tcPr>
            <w:tcW w:w="2355" w:type="dxa"/>
            <w:gridSpan w:val="3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6E0B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Polymyxin</w:t>
            </w:r>
          </w:p>
        </w:tc>
      </w:tr>
      <w:tr w:rsidR="008A16A0" w14:paraId="1116BED4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5A12" w14:textId="77777777" w:rsidR="008A16A0" w:rsidRDefault="008A16A0" w:rsidP="0054067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2727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proofErr w:type="spellStart"/>
            <w:r>
              <w:rPr>
                <w:i/>
                <w:sz w:val="17"/>
                <w:szCs w:val="17"/>
              </w:rPr>
              <w:t>varG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D47F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AMC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F812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AMP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EAA4C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CRP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04B2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NAL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E765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CIP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F984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catB9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FF1E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CHL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E449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proofErr w:type="spellStart"/>
            <w:r>
              <w:rPr>
                <w:i/>
                <w:sz w:val="17"/>
                <w:szCs w:val="17"/>
              </w:rPr>
              <w:t>almG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9BD0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PMB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457E" w14:textId="77777777" w:rsidR="008A16A0" w:rsidRDefault="008A16A0" w:rsidP="00540670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CST</w:t>
            </w:r>
          </w:p>
        </w:tc>
      </w:tr>
      <w:tr w:rsidR="008A16A0" w14:paraId="44D75F4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8C8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014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3D5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B9F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979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772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1F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C05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7DD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451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CAB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9BC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4175327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261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57D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776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742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A57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303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054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F63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AD3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317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2A8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63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3DC68D4E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0FF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5A6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77D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2D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6DD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B51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0C3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AAA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325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2E9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4D0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7D7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4234D094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ABB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AF7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8C6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240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6EF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E41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771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59D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8F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57D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796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10A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3580FEF4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859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060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BEF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6D8B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5C7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0A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92FE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444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45F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E27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377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AAB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492746A1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B3A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EAE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4BD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EE8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359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A4F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BAB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BFB4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3D4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14B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088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9D7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32EC64CE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600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1E8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90F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35B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5D9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349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558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F41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D9F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EC6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78D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DF4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6138F4E9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026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4C3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8EB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B73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016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EEF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FFF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102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BAE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D00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12F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EAE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3C478773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758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583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1B3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A9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F93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1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DD6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748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B91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4A8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CB5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D2D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55A86094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135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55F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984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DAC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996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ECD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BC5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0CF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BB5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B1A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1B8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EB0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40A626B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035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872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E01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C4A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07E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A69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237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4FE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B89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6B3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F7D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2C5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75254291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B53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E9C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1E8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548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20E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1D0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2FF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47F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45B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8B8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164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6F8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23135421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9B2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F9C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CE0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167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F1D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006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20D5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A21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E32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97A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A46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29F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54D3BEB0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2B5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68A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4D9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D7F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121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44D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88B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303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B13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33A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F2C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677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0A6F7251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3A1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10C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1B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232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60F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B13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0372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52F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D2D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ACD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98E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21C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1C3F3EAF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53C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CMR_VC_57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80F0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49D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AAF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110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2BA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E47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87D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12E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390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E7E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660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</w:tr>
      <w:tr w:rsidR="008A16A0" w14:paraId="7DA4B47E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7EE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NER_003_2018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B6F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D5C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22E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639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4F4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6CE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5A5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EBA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6D2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C1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4B6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7D5DB7C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379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NER_004_2016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726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850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2C7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CF3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DEA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8CC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700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E1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D2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17D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E79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39EDEDB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7B8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NER_004_2018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C37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015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BD7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892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478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EB6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38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7E1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E58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A6E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39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5C358331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DF9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NER_005_2018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C10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133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432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1A0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E60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FEA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16A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701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17C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AC3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B1E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6E1CF55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E95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NER_023_2018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54D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181F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DF3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E57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180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239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C16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934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55E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28F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14C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1125808D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2AE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NER_024_2018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C19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C57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AA7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8C9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81B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6BE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7B5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9CD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C55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2BB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E8A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2FF6A7AF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5CF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NER_028_2011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5A7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B46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316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046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92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5A2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76D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180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C36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E76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97D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32562A14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A2F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NER_055_2011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B7E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D34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847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A71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AF43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361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65E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1C5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589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95A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922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32EB7717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0C6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NER_071_2011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45D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B18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B736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686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A76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35F7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C09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2F84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C2E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918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DD6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22E99A60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74B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NER_088_2011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5AC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072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8DA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C01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1C2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166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893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C89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EF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ADA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89C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6F701B3D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15F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NER_109_2011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5ED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D5A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BA4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735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59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952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92C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543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373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4CB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CFF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16AC5793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D67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NER_116_2011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7A7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7FF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200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FC6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839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E3B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BAB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E2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47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D29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55F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750DF80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70A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NER_132_2012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9C3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C2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694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B30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501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09B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1BD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110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2C6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333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05D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59F314B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A50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NER_205_2011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A7B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6E8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F05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BF8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850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1A3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4E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7B5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01A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B12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882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7B5240AD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335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NER_211_2018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19B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DA9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C8A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2A1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D7E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66A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006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2C4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668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286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068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23800A96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27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NGA_001_2019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871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7F4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C5A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38A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9C0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B30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192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088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DE7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305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E49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70F3C835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EA0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NGA_002_2019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81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E08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290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1CE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8D7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3B7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1C4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6D5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D85C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1CE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9C3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2B4DD6A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935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NGA_016_2019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39D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5F9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5C2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FE2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5B5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CAF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1B6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5A4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DBB6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BC5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478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51302810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22A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NGA_201_2018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C4EC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A21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89D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0BB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7325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336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D87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776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61A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CB7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699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3049A67E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D5F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NGA_205_2018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2AA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9B1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709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2E8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59B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952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FB4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19B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D8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8D2B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BBE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4ED07F2E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FE0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NGA_206_2018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28C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5D6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80A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1AE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EB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6CE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26A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84E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049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953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CEC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4A8BD70B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E2F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NGA_220_2018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4D6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998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BF3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29D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47C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9E1F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068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A44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5B8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33FC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DCC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03261FC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8F4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NGA_235_2018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295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69B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328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429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1358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6F5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E4C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7825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FDF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63A9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4B7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3C661548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EA8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NGA_247_2018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64EB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443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D33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E26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8C71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7F6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512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8690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EEA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0457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5ED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12D5B69D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528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NGA_248_2018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04E6" w14:textId="77777777" w:rsidR="008A16A0" w:rsidRDefault="008A16A0" w:rsidP="00540670">
            <w:pPr>
              <w:jc w:val="center"/>
              <w:rPr>
                <w:b/>
                <w:color w:val="FF0000"/>
                <w:sz w:val="17"/>
                <w:szCs w:val="17"/>
                <w:highlight w:val="white"/>
              </w:rPr>
            </w:pPr>
            <w:r>
              <w:rPr>
                <w:b/>
                <w:color w:val="FF0000"/>
                <w:sz w:val="17"/>
                <w:szCs w:val="17"/>
                <w:highlight w:val="white"/>
              </w:rPr>
              <w:t>Abs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DA4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816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416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3AE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718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849C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1C3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C8D2" w14:textId="77777777" w:rsidR="008A16A0" w:rsidRDefault="008A16A0" w:rsidP="00540670">
            <w:pPr>
              <w:jc w:val="center"/>
              <w:rPr>
                <w:b/>
                <w:color w:val="FF0000"/>
                <w:sz w:val="17"/>
                <w:szCs w:val="17"/>
                <w:highlight w:val="white"/>
              </w:rPr>
            </w:pPr>
            <w:r>
              <w:rPr>
                <w:b/>
                <w:color w:val="FF0000"/>
                <w:sz w:val="17"/>
                <w:szCs w:val="17"/>
                <w:highlight w:val="white"/>
              </w:rPr>
              <w:t>Abs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DB68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0AAF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  <w:tr w:rsidR="008A16A0" w14:paraId="0C4471BA" w14:textId="77777777" w:rsidTr="00540670">
        <w:tc>
          <w:tcPr>
            <w:tcW w:w="1485" w:type="dxa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731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NGA_255_2018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DD5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99E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8624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EEA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E21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93F2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88BA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00AEE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319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proofErr w:type="spellStart"/>
            <w:r>
              <w:rPr>
                <w:sz w:val="17"/>
                <w:szCs w:val="17"/>
                <w:highlight w:val="white"/>
              </w:rPr>
              <w:t>Pr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361D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EDD3" w14:textId="77777777" w:rsidR="008A16A0" w:rsidRDefault="008A16A0" w:rsidP="00540670">
            <w:pPr>
              <w:jc w:val="center"/>
              <w:rPr>
                <w:sz w:val="17"/>
                <w:szCs w:val="17"/>
                <w:highlight w:val="white"/>
              </w:rPr>
            </w:pPr>
            <w:r>
              <w:rPr>
                <w:sz w:val="17"/>
                <w:szCs w:val="17"/>
                <w:highlight w:val="white"/>
              </w:rPr>
              <w:t>--</w:t>
            </w:r>
          </w:p>
        </w:tc>
      </w:tr>
    </w:tbl>
    <w:p w14:paraId="38CB9748" w14:textId="77777777" w:rsidR="008A16A0" w:rsidRDefault="008A16A0" w:rsidP="008A16A0">
      <w:pPr>
        <w:pStyle w:val="Heading3"/>
        <w:keepNext w:val="0"/>
        <w:keepLines w:val="0"/>
        <w:spacing w:before="280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5lj5h428uv2b" w:colFirst="0" w:colLast="0"/>
      <w:bookmarkEnd w:id="1"/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: Gene present; Abs: Gene absent; R: Resistant isolate; S: Susceptible isolate; I: Intermediate; --: Not tested; AMC: amoxicillin-clavulanic acid; AMP: ampicillin; NAL: nalidixic acid; CHL: chloramphenicol; PMB: polymyxin B; CST: colistin. All samples had </w:t>
      </w:r>
      <w:proofErr w:type="spellStart"/>
      <w:proofErr w:type="gramStart"/>
      <w:r>
        <w:rPr>
          <w:rFonts w:ascii="Calibri" w:eastAsia="Calibri" w:hAnsi="Calibri" w:cs="Calibri"/>
          <w:i/>
          <w:color w:val="000000"/>
          <w:sz w:val="20"/>
          <w:szCs w:val="20"/>
        </w:rPr>
        <w:t>tet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(</w:t>
      </w:r>
      <w:proofErr w:type="gramEnd"/>
      <w:r>
        <w:rPr>
          <w:rFonts w:ascii="Calibri" w:eastAsia="Calibri" w:hAnsi="Calibri" w:cs="Calibri"/>
          <w:i/>
          <w:color w:val="000000"/>
          <w:sz w:val="20"/>
          <w:szCs w:val="20"/>
        </w:rPr>
        <w:t>34)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present and were susceptible to tetracycline; all samples had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farA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present and were not tested for antibacterial free fatty acids. The following samples were not tested and thus not included in this analysis: NGA_236_2019, NGA_263_2018, NGA_148_2019 and NGA_252_2019.</w:t>
      </w:r>
    </w:p>
    <w:p w14:paraId="40045E76" w14:textId="288DAEB1" w:rsidR="002F7036" w:rsidRDefault="002F7036" w:rsidP="004A4F01">
      <w:pPr>
        <w:widowControl w:val="0"/>
        <w:spacing w:after="200" w:line="240" w:lineRule="auto"/>
        <w:rPr>
          <w:rFonts w:ascii="Times New Roman" w:eastAsia="Times New Roman" w:hAnsi="Times New Roman" w:cs="Times New Roman"/>
        </w:rPr>
      </w:pPr>
    </w:p>
    <w:sectPr w:rsidR="002F7036">
      <w:footerReference w:type="default" r:id="rId6"/>
      <w:type w:val="continuous"/>
      <w:pgSz w:w="12240" w:h="15840"/>
      <w:pgMar w:top="720" w:right="1008" w:bottom="720" w:left="1008" w:header="0" w:footer="720" w:gutter="0"/>
      <w:pgNumType w:start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F417F" w14:textId="77777777" w:rsidR="0020532C" w:rsidRDefault="0020532C">
      <w:pPr>
        <w:spacing w:line="240" w:lineRule="auto"/>
      </w:pPr>
      <w:r>
        <w:separator/>
      </w:r>
    </w:p>
  </w:endnote>
  <w:endnote w:type="continuationSeparator" w:id="0">
    <w:p w14:paraId="5C0B943D" w14:textId="77777777" w:rsidR="0020532C" w:rsidRDefault="00205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1F3EC" w14:textId="4E3ED945" w:rsidR="009A6582" w:rsidRDefault="009A6582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38894" w14:textId="77777777" w:rsidR="0020532C" w:rsidRDefault="0020532C">
      <w:pPr>
        <w:spacing w:line="240" w:lineRule="auto"/>
      </w:pPr>
      <w:r>
        <w:separator/>
      </w:r>
    </w:p>
  </w:footnote>
  <w:footnote w:type="continuationSeparator" w:id="0">
    <w:p w14:paraId="193FC680" w14:textId="77777777" w:rsidR="0020532C" w:rsidRDefault="002053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36"/>
    <w:rsid w:val="0000348E"/>
    <w:rsid w:val="001D44BF"/>
    <w:rsid w:val="0020532C"/>
    <w:rsid w:val="00296F48"/>
    <w:rsid w:val="002F7036"/>
    <w:rsid w:val="004A4F01"/>
    <w:rsid w:val="00767F66"/>
    <w:rsid w:val="008836E0"/>
    <w:rsid w:val="008A16A0"/>
    <w:rsid w:val="009A6582"/>
    <w:rsid w:val="00AD235C"/>
    <w:rsid w:val="00C7293E"/>
    <w:rsid w:val="00F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3D06"/>
  <w15:docId w15:val="{0E20E5FF-F5D5-304C-820B-90D4FC18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F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01"/>
  </w:style>
  <w:style w:type="paragraph" w:styleId="Footer">
    <w:name w:val="footer"/>
    <w:basedOn w:val="Normal"/>
    <w:link w:val="FooterChar"/>
    <w:uiPriority w:val="99"/>
    <w:unhideWhenUsed/>
    <w:rsid w:val="004A4F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01"/>
  </w:style>
  <w:style w:type="paragraph" w:styleId="BalloonText">
    <w:name w:val="Balloon Text"/>
    <w:basedOn w:val="Normal"/>
    <w:link w:val="BalloonTextChar"/>
    <w:uiPriority w:val="99"/>
    <w:semiHidden/>
    <w:unhideWhenUsed/>
    <w:rsid w:val="004A4F0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01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unhideWhenUsed/>
    <w:rsid w:val="00AD235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Shirlee Wohl</cp:lastModifiedBy>
  <cp:revision>7</cp:revision>
  <dcterms:created xsi:type="dcterms:W3CDTF">2020-09-18T21:42:00Z</dcterms:created>
  <dcterms:modified xsi:type="dcterms:W3CDTF">2020-11-19T22:15:00Z</dcterms:modified>
</cp:coreProperties>
</file>