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091" w:type="dxa"/>
        <w:tblLayout w:type="fixed"/>
        <w:tblCellMar>
          <w:top w:w="72" w:type="dxa"/>
          <w:left w:w="0" w:type="dxa"/>
          <w:right w:w="72" w:type="dxa"/>
        </w:tblCellMar>
        <w:tblLook w:val="04A0" w:firstRow="1" w:lastRow="0" w:firstColumn="1" w:lastColumn="0" w:noHBand="0" w:noVBand="1"/>
      </w:tblPr>
      <w:tblGrid>
        <w:gridCol w:w="900"/>
        <w:gridCol w:w="990"/>
        <w:gridCol w:w="2201"/>
      </w:tblGrid>
      <w:tr w:rsidR="00052CDF" w:rsidRPr="00146DAB" w14:paraId="5FD64AF0" w14:textId="77777777" w:rsidTr="00052CDF">
        <w:trPr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2D11EC" w14:textId="77777777" w:rsidR="00052CDF" w:rsidRDefault="00052CDF" w:rsidP="00793EAE">
            <w:pPr>
              <w:jc w:val="center"/>
              <w:rPr>
                <w:rFonts w:eastAsia="Times New Roman" w:cs="Arial"/>
                <w:b/>
                <w:bCs/>
              </w:rPr>
            </w:pPr>
          </w:p>
          <w:p w14:paraId="0615633B" w14:textId="77777777" w:rsidR="00052CDF" w:rsidRDefault="00052CDF" w:rsidP="00793EAE">
            <w:pPr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Phase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C6F66" w14:textId="77777777" w:rsidR="00052CDF" w:rsidRPr="00146DAB" w:rsidRDefault="00052CDF" w:rsidP="00793EAE">
            <w:pPr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Case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A9943" w14:textId="77777777" w:rsidR="00052CDF" w:rsidRDefault="00052CDF" w:rsidP="00793EAE">
            <w:pPr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HCV</w:t>
            </w:r>
            <w:r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46DAB"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  <w:t>t</w:t>
            </w:r>
            <w:r w:rsidRPr="00FF5EE6">
              <w:rPr>
                <w:rFonts w:eastAsia="Times New Roman" w:cs="Arial"/>
                <w:b/>
                <w:bCs/>
                <w:color w:val="000000"/>
                <w:sz w:val="22"/>
                <w:szCs w:val="22"/>
                <w:vertAlign w:val="subscript"/>
              </w:rPr>
              <w:t xml:space="preserve">1/2 </w:t>
            </w:r>
            <w:r>
              <w:rPr>
                <w:rFonts w:eastAsia="Times New Roman" w:cs="Arial"/>
                <w:b/>
                <w:bCs/>
              </w:rPr>
              <w:t xml:space="preserve">[min] </w:t>
            </w:r>
          </w:p>
          <w:p w14:paraId="38F666E6" w14:textId="77777777" w:rsidR="00052CDF" w:rsidRPr="00146DAB" w:rsidRDefault="00052CDF" w:rsidP="00793EAE">
            <w:pPr>
              <w:jc w:val="center"/>
              <w:rPr>
                <w:rFonts w:eastAsia="Times New Roman" w:cs="Arial"/>
                <w:b/>
                <w:bCs/>
              </w:rPr>
            </w:pPr>
            <w:r w:rsidRPr="00146DAB">
              <w:rPr>
                <w:rFonts w:eastAsia="Times New Roman" w:cs="Arial"/>
                <w:b/>
                <w:bCs/>
              </w:rPr>
              <w:t xml:space="preserve">[95% CI] </w:t>
            </w:r>
          </w:p>
        </w:tc>
      </w:tr>
      <w:tr w:rsidR="00052CDF" w:rsidRPr="00146DAB" w14:paraId="31BEC3AF" w14:textId="77777777" w:rsidTr="00052CDF">
        <w:trPr>
          <w:trHeight w:val="6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5BAAB" w14:textId="77777777" w:rsidR="00052CDF" w:rsidRDefault="00052CDF" w:rsidP="00793EAE">
            <w:pPr>
              <w:jc w:val="center"/>
              <w:rPr>
                <w:rFonts w:eastAsia="Times New Roman" w:cs="Arial"/>
              </w:rPr>
            </w:pPr>
          </w:p>
          <w:p w14:paraId="65D71806" w14:textId="77777777" w:rsidR="00052CDF" w:rsidRDefault="00052CDF" w:rsidP="00793EAE">
            <w:pPr>
              <w:jc w:val="center"/>
              <w:rPr>
                <w:rFonts w:eastAsia="Times New Roman" w:cs="Arial"/>
              </w:rPr>
            </w:pPr>
          </w:p>
          <w:p w14:paraId="07C17939" w14:textId="77777777" w:rsidR="00052CDF" w:rsidRDefault="00052CDF" w:rsidP="00793EAE">
            <w:pPr>
              <w:jc w:val="center"/>
              <w:rPr>
                <w:rFonts w:eastAsia="Times New Roman" w:cs="Arial"/>
              </w:rPr>
            </w:pPr>
          </w:p>
          <w:p w14:paraId="2454276C" w14:textId="77777777" w:rsidR="00052CDF" w:rsidRDefault="00052CDF" w:rsidP="00793EAE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9180D" w14:textId="77777777" w:rsidR="00052CDF" w:rsidRPr="00146DAB" w:rsidRDefault="00052CDF" w:rsidP="00793EAE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C7EF0" w14:textId="77777777" w:rsidR="00052CDF" w:rsidRPr="00266238" w:rsidRDefault="00052CDF" w:rsidP="00793EAE">
            <w:pPr>
              <w:jc w:val="center"/>
              <w:rPr>
                <w:rFonts w:asciiTheme="minorBidi" w:eastAsia="Times New Roman" w:hAnsiTheme="minorBidi"/>
                <w:sz w:val="22"/>
                <w:szCs w:val="22"/>
              </w:rPr>
            </w:pPr>
            <w:r w:rsidRPr="00266238">
              <w:rPr>
                <w:rFonts w:asciiTheme="minorBidi" w:hAnsiTheme="minorBidi"/>
                <w:color w:val="000000"/>
                <w:sz w:val="22"/>
                <w:szCs w:val="22"/>
              </w:rPr>
              <w:t>VP</w:t>
            </w:r>
          </w:p>
        </w:tc>
      </w:tr>
      <w:tr w:rsidR="00052CDF" w:rsidRPr="00146DAB" w14:paraId="69D8E447" w14:textId="77777777" w:rsidTr="00052CDF">
        <w:trPr>
          <w:trHeight w:val="24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5EC35" w14:textId="77777777" w:rsidR="00052CDF" w:rsidRDefault="00052CDF" w:rsidP="00793EAE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3B314" w14:textId="77777777" w:rsidR="00052CDF" w:rsidRPr="00146DAB" w:rsidRDefault="00052CDF" w:rsidP="00793EAE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9C9A1" w14:textId="77777777" w:rsidR="00052CDF" w:rsidRPr="00266238" w:rsidRDefault="00052CDF" w:rsidP="00793EAE">
            <w:pPr>
              <w:jc w:val="center"/>
              <w:rPr>
                <w:rFonts w:asciiTheme="minorBidi" w:eastAsia="Times New Roman" w:hAnsiTheme="minorBidi"/>
                <w:sz w:val="22"/>
                <w:szCs w:val="22"/>
              </w:rPr>
            </w:pPr>
            <w:r w:rsidRPr="00266238">
              <w:rPr>
                <w:rFonts w:asciiTheme="minorBidi" w:hAnsiTheme="minorBidi"/>
                <w:color w:val="000000"/>
                <w:sz w:val="22"/>
                <w:szCs w:val="22"/>
              </w:rPr>
              <w:t>VP</w:t>
            </w:r>
          </w:p>
        </w:tc>
      </w:tr>
      <w:tr w:rsidR="00052CDF" w:rsidRPr="00146DAB" w14:paraId="74E7DA11" w14:textId="77777777" w:rsidTr="00052CDF">
        <w:trPr>
          <w:trHeight w:val="24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A59E0" w14:textId="77777777" w:rsidR="00052CDF" w:rsidRDefault="00052CDF" w:rsidP="00793EAE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6B74C" w14:textId="77777777" w:rsidR="00052CDF" w:rsidRPr="00146DAB" w:rsidRDefault="00052CDF" w:rsidP="00793EAE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2BF0B" w14:textId="77777777" w:rsidR="00052CDF" w:rsidRPr="00266238" w:rsidRDefault="00052CDF" w:rsidP="00793EAE">
            <w:pPr>
              <w:jc w:val="center"/>
              <w:rPr>
                <w:rFonts w:asciiTheme="minorBidi" w:eastAsia="Times New Roman" w:hAnsiTheme="minorBidi"/>
                <w:sz w:val="22"/>
                <w:szCs w:val="22"/>
              </w:rPr>
            </w:pPr>
            <w:r w:rsidRPr="00266238">
              <w:rPr>
                <w:rFonts w:asciiTheme="minorBidi" w:hAnsiTheme="minorBidi"/>
                <w:color w:val="000000"/>
                <w:sz w:val="22"/>
                <w:szCs w:val="22"/>
              </w:rPr>
              <w:t>VP</w:t>
            </w:r>
          </w:p>
        </w:tc>
      </w:tr>
      <w:tr w:rsidR="00052CDF" w:rsidRPr="00146DAB" w14:paraId="1A6F7500" w14:textId="77777777" w:rsidTr="00052CDF">
        <w:trPr>
          <w:trHeight w:val="24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5AC8B" w14:textId="77777777" w:rsidR="00052CDF" w:rsidRDefault="00052CDF" w:rsidP="00793EAE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93FC3" w14:textId="77777777" w:rsidR="00052CDF" w:rsidRPr="00146DAB" w:rsidRDefault="00052CDF" w:rsidP="00793EAE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01200" w14:textId="77777777" w:rsidR="00052CDF" w:rsidRPr="00266238" w:rsidRDefault="00052CDF" w:rsidP="00793EAE">
            <w:pPr>
              <w:jc w:val="center"/>
              <w:rPr>
                <w:rFonts w:asciiTheme="minorBidi" w:eastAsia="Times New Roman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color w:val="000000"/>
                <w:sz w:val="22"/>
                <w:szCs w:val="22"/>
              </w:rPr>
              <w:t>64</w:t>
            </w:r>
            <w:r w:rsidRPr="00266238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[</w:t>
            </w:r>
            <w:r>
              <w:rPr>
                <w:rFonts w:asciiTheme="minorBidi" w:hAnsiTheme="minorBidi"/>
                <w:color w:val="000000"/>
                <w:sz w:val="22"/>
                <w:szCs w:val="22"/>
              </w:rPr>
              <w:t>61</w:t>
            </w:r>
            <w:r w:rsidRPr="00266238">
              <w:rPr>
                <w:rFonts w:asciiTheme="minorBidi" w:hAnsiTheme="minorBidi"/>
                <w:color w:val="000000"/>
                <w:sz w:val="22"/>
                <w:szCs w:val="22"/>
              </w:rPr>
              <w:t>-</w:t>
            </w:r>
            <w:r>
              <w:rPr>
                <w:rFonts w:asciiTheme="minorBidi" w:hAnsiTheme="minorBidi"/>
                <w:color w:val="000000"/>
                <w:sz w:val="22"/>
                <w:szCs w:val="22"/>
              </w:rPr>
              <w:t>69</w:t>
            </w:r>
            <w:r w:rsidRPr="00266238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] </w:t>
            </w:r>
          </w:p>
        </w:tc>
      </w:tr>
      <w:tr w:rsidR="00052CDF" w:rsidRPr="00146DAB" w14:paraId="02B0F9BB" w14:textId="77777777" w:rsidTr="00052CDF">
        <w:trPr>
          <w:trHeight w:val="240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4329" w14:textId="77777777" w:rsidR="00052CDF" w:rsidRDefault="00052CDF" w:rsidP="00793EAE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564A5" w14:textId="77777777" w:rsidR="00052CDF" w:rsidRPr="00146DAB" w:rsidRDefault="00052CDF" w:rsidP="00793EAE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5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D2E53C" w14:textId="77777777" w:rsidR="00052CDF" w:rsidRPr="00266238" w:rsidRDefault="00052CDF" w:rsidP="00793EAE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/>
                <w:color w:val="000000"/>
                <w:sz w:val="22"/>
                <w:szCs w:val="22"/>
              </w:rPr>
              <w:t>8</w:t>
            </w:r>
            <w:r w:rsidRPr="00266238">
              <w:rPr>
                <w:rFonts w:asciiTheme="minorBidi" w:hAnsiTheme="minorBidi"/>
                <w:color w:val="000000"/>
                <w:sz w:val="22"/>
                <w:szCs w:val="22"/>
              </w:rPr>
              <w:t>9 [</w:t>
            </w:r>
            <w:r>
              <w:rPr>
                <w:rFonts w:asciiTheme="minorBidi" w:hAnsiTheme="minorBidi"/>
                <w:color w:val="000000"/>
                <w:sz w:val="22"/>
                <w:szCs w:val="22"/>
              </w:rPr>
              <w:t>75</w:t>
            </w:r>
            <w:r w:rsidRPr="00266238">
              <w:rPr>
                <w:rFonts w:asciiTheme="minorBidi" w:hAnsiTheme="minorBidi"/>
                <w:color w:val="000000"/>
                <w:sz w:val="22"/>
                <w:szCs w:val="22"/>
              </w:rPr>
              <w:t>-</w:t>
            </w:r>
            <w:r>
              <w:rPr>
                <w:rFonts w:asciiTheme="minorBidi" w:hAnsiTheme="minorBidi"/>
                <w:color w:val="000000"/>
                <w:sz w:val="22"/>
                <w:szCs w:val="22"/>
              </w:rPr>
              <w:t>110</w:t>
            </w:r>
            <w:r w:rsidRPr="00266238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] </w:t>
            </w:r>
          </w:p>
        </w:tc>
      </w:tr>
    </w:tbl>
    <w:p w14:paraId="1655A1F6" w14:textId="77777777" w:rsidR="00052CDF" w:rsidRPr="009E2DFE" w:rsidRDefault="00052CDF" w:rsidP="00052CDF">
      <w:pPr>
        <w:rPr>
          <w:rFonts w:cs="Arial"/>
          <w:b/>
          <w:bCs/>
          <w:sz w:val="22"/>
          <w:szCs w:val="22"/>
        </w:rPr>
      </w:pPr>
      <w:r w:rsidRPr="009E2DFE">
        <w:rPr>
          <w:rFonts w:cs="Arial"/>
          <w:b/>
          <w:bCs/>
          <w:sz w:val="22"/>
          <w:szCs w:val="22"/>
        </w:rPr>
        <w:t xml:space="preserve"> </w:t>
      </w:r>
    </w:p>
    <w:p w14:paraId="6E331FAC" w14:textId="77777777" w:rsidR="00052CDF" w:rsidRPr="001C2140" w:rsidRDefault="00052CDF" w:rsidP="00052CDF">
      <w:pPr>
        <w:rPr>
          <w:rFonts w:asciiTheme="majorBidi" w:hAnsiTheme="majorBidi" w:cstheme="majorBidi"/>
          <w:bCs/>
        </w:rPr>
      </w:pPr>
      <w:r w:rsidRPr="001C2140">
        <w:rPr>
          <w:rFonts w:asciiTheme="majorBidi" w:hAnsiTheme="majorBidi" w:cstheme="majorBidi"/>
          <w:b/>
        </w:rPr>
        <w:t xml:space="preserve">Table </w:t>
      </w:r>
      <w:r>
        <w:rPr>
          <w:rFonts w:asciiTheme="majorBidi" w:hAnsiTheme="majorBidi" w:cstheme="majorBidi"/>
          <w:b/>
        </w:rPr>
        <w:t>S1</w:t>
      </w:r>
      <w:r w:rsidRPr="001C2140">
        <w:rPr>
          <w:rFonts w:asciiTheme="majorBidi" w:hAnsiTheme="majorBidi" w:cstheme="majorBidi"/>
          <w:b/>
        </w:rPr>
        <w:t xml:space="preserve">: </w:t>
      </w:r>
      <w:r w:rsidRPr="001C2140">
        <w:rPr>
          <w:rFonts w:asciiTheme="majorBidi" w:hAnsiTheme="majorBidi" w:cstheme="majorBidi"/>
          <w:bCs/>
        </w:rPr>
        <w:t xml:space="preserve">Best-fit parameter estimates </w:t>
      </w:r>
      <w:r>
        <w:rPr>
          <w:rFonts w:asciiTheme="majorBidi" w:hAnsiTheme="majorBidi" w:cstheme="majorBidi"/>
          <w:bCs/>
        </w:rPr>
        <w:t>determined by</w:t>
      </w:r>
      <w:r w:rsidRPr="001C2140">
        <w:rPr>
          <w:rFonts w:asciiTheme="majorBidi" w:hAnsiTheme="majorBidi" w:cstheme="majorBidi"/>
          <w:bCs/>
        </w:rPr>
        <w:t xml:space="preserve"> fitting </w:t>
      </w:r>
      <w:proofErr w:type="spellStart"/>
      <w:r w:rsidRPr="001C2140">
        <w:rPr>
          <w:rFonts w:asciiTheme="majorBidi" w:hAnsiTheme="majorBidi" w:cstheme="majorBidi"/>
          <w:bCs/>
        </w:rPr>
        <w:t>Eqs</w:t>
      </w:r>
      <w:proofErr w:type="spellEnd"/>
      <w:r w:rsidRPr="001C2140">
        <w:rPr>
          <w:rFonts w:asciiTheme="majorBidi" w:hAnsiTheme="majorBidi" w:cstheme="majorBidi"/>
          <w:bCs/>
        </w:rPr>
        <w:t xml:space="preserve">. (3) </w:t>
      </w:r>
      <w:r>
        <w:rPr>
          <w:rFonts w:asciiTheme="majorBidi" w:hAnsiTheme="majorBidi" w:cstheme="majorBidi"/>
          <w:bCs/>
        </w:rPr>
        <w:t>with</w:t>
      </w:r>
      <w:r w:rsidRPr="001C2140">
        <w:rPr>
          <w:rFonts w:asciiTheme="majorBidi" w:hAnsiTheme="majorBidi" w:cstheme="majorBidi"/>
          <w:bCs/>
        </w:rPr>
        <w:t xml:space="preserve"> data obtained during the </w:t>
      </w:r>
      <w:proofErr w:type="spellStart"/>
      <w:r w:rsidRPr="001C2140">
        <w:rPr>
          <w:rFonts w:asciiTheme="majorBidi" w:hAnsiTheme="majorBidi" w:cstheme="majorBidi"/>
          <w:bCs/>
        </w:rPr>
        <w:t>anhepatic</w:t>
      </w:r>
      <w:proofErr w:type="spellEnd"/>
      <w:r w:rsidRPr="001C2140">
        <w:rPr>
          <w:rFonts w:asciiTheme="majorBidi" w:hAnsiTheme="majorBidi" w:cstheme="majorBidi"/>
          <w:bCs/>
        </w:rPr>
        <w:t xml:space="preserve"> phase</w:t>
      </w:r>
      <w:r>
        <w:rPr>
          <w:rFonts w:asciiTheme="majorBidi" w:hAnsiTheme="majorBidi" w:cstheme="majorBidi"/>
          <w:bCs/>
        </w:rPr>
        <w:t xml:space="preserve"> (AH)</w:t>
      </w:r>
      <w:r w:rsidRPr="001C2140">
        <w:rPr>
          <w:rFonts w:asciiTheme="majorBidi" w:hAnsiTheme="majorBidi" w:cstheme="majorBidi"/>
          <w:bCs/>
        </w:rPr>
        <w:t xml:space="preserve">, assuming </w:t>
      </w:r>
      <w:r>
        <w:rPr>
          <w:rFonts w:asciiTheme="majorBidi" w:hAnsiTheme="majorBidi" w:cstheme="majorBidi"/>
          <w:bCs/>
        </w:rPr>
        <w:t xml:space="preserve">extracellular </w:t>
      </w:r>
      <w:r w:rsidRPr="001C2140">
        <w:rPr>
          <w:rFonts w:asciiTheme="majorBidi" w:hAnsiTheme="majorBidi" w:cstheme="majorBidi"/>
          <w:bCs/>
        </w:rPr>
        <w:t>fluid volume of 5L</w:t>
      </w:r>
      <w:r>
        <w:rPr>
          <w:rFonts w:asciiTheme="majorBidi" w:hAnsiTheme="majorBidi" w:cstheme="majorBidi"/>
          <w:bCs/>
        </w:rPr>
        <w:t xml:space="preserve"> and</w:t>
      </w:r>
      <w:r w:rsidRPr="001C2140">
        <w:rPr>
          <w:rFonts w:asciiTheme="majorBidi" w:hAnsiTheme="majorBidi" w:cstheme="majorBidi"/>
          <w:bCs/>
        </w:rPr>
        <w:t xml:space="preserve"> that fluid intake and outtake are equal (see </w:t>
      </w:r>
      <w:r>
        <w:rPr>
          <w:rFonts w:asciiTheme="majorBidi" w:hAnsiTheme="majorBidi" w:cstheme="majorBidi"/>
          <w:bCs/>
        </w:rPr>
        <w:t>Methods)</w:t>
      </w:r>
      <w:r w:rsidRPr="001C2140">
        <w:rPr>
          <w:rFonts w:asciiTheme="majorBidi" w:hAnsiTheme="majorBidi" w:cstheme="majorBidi"/>
          <w:bCs/>
        </w:rPr>
        <w:t xml:space="preserve">. </w:t>
      </w:r>
      <w:r w:rsidRPr="001C2140">
        <w:rPr>
          <w:rFonts w:asciiTheme="majorBidi" w:eastAsia="Times New Roman" w:hAnsiTheme="majorBidi" w:cstheme="majorBidi"/>
          <w:bCs/>
          <w:color w:val="000000"/>
        </w:rPr>
        <w:t xml:space="preserve">VP, </w:t>
      </w:r>
      <w:r>
        <w:rPr>
          <w:rFonts w:asciiTheme="majorBidi" w:eastAsia="Times New Roman" w:hAnsiTheme="majorBidi" w:cstheme="majorBidi"/>
          <w:bCs/>
          <w:color w:val="000000"/>
        </w:rPr>
        <w:t>v</w:t>
      </w:r>
      <w:r w:rsidRPr="001C2140">
        <w:rPr>
          <w:rFonts w:asciiTheme="majorBidi" w:eastAsia="Times New Roman" w:hAnsiTheme="majorBidi" w:cstheme="majorBidi"/>
          <w:bCs/>
          <w:color w:val="000000"/>
        </w:rPr>
        <w:t xml:space="preserve">iral </w:t>
      </w:r>
      <w:r>
        <w:rPr>
          <w:rFonts w:asciiTheme="majorBidi" w:eastAsia="Times New Roman" w:hAnsiTheme="majorBidi" w:cstheme="majorBidi"/>
          <w:bCs/>
          <w:color w:val="000000"/>
        </w:rPr>
        <w:t>p</w:t>
      </w:r>
      <w:r w:rsidRPr="001C2140">
        <w:rPr>
          <w:rFonts w:asciiTheme="majorBidi" w:eastAsia="Times New Roman" w:hAnsiTheme="majorBidi" w:cstheme="majorBidi"/>
          <w:bCs/>
          <w:color w:val="000000"/>
        </w:rPr>
        <w:t>lateau (not significantly different from slope 0)</w:t>
      </w:r>
      <w:r w:rsidRPr="001C2140">
        <w:rPr>
          <w:rFonts w:asciiTheme="majorBidi" w:hAnsiTheme="majorBidi" w:cstheme="majorBidi"/>
          <w:bCs/>
        </w:rPr>
        <w:t>.</w:t>
      </w:r>
      <w:r>
        <w:rPr>
          <w:rFonts w:asciiTheme="majorBidi" w:hAnsiTheme="majorBidi" w:cstheme="majorBidi"/>
          <w:bCs/>
        </w:rPr>
        <w:t xml:space="preserve"> Note that the median is not provided because many patients had a best-fit value of 0 for the slope precluding an estimate of a </w:t>
      </w:r>
      <w:proofErr w:type="gramStart"/>
      <w:r>
        <w:rPr>
          <w:rFonts w:asciiTheme="majorBidi" w:hAnsiTheme="majorBidi" w:cstheme="majorBidi"/>
          <w:bCs/>
        </w:rPr>
        <w:t>half-life</w:t>
      </w:r>
      <w:proofErr w:type="gramEnd"/>
    </w:p>
    <w:p w14:paraId="271E5DA9" w14:textId="77777777" w:rsidR="000D7BD3" w:rsidRDefault="000D7BD3"/>
    <w:sectPr w:rsidR="000D7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DF"/>
    <w:rsid w:val="00052CDF"/>
    <w:rsid w:val="000D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D2C53"/>
  <w15:chartTrackingRefBased/>
  <w15:docId w15:val="{76DBA195-346E-492A-9E33-C1242742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DF"/>
    <w:pPr>
      <w:spacing w:after="0" w:line="240" w:lineRule="auto"/>
      <w:jc w:val="both"/>
    </w:pPr>
    <w:rPr>
      <w:rFonts w:ascii="Arial" w:eastAsiaTheme="minorEastAsia" w:hAnsi="Arial"/>
      <w:sz w:val="24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uprichard</dc:creator>
  <cp:keywords/>
  <dc:description/>
  <cp:lastModifiedBy>susan uprichard</cp:lastModifiedBy>
  <cp:revision>1</cp:revision>
  <dcterms:created xsi:type="dcterms:W3CDTF">2021-06-25T05:09:00Z</dcterms:created>
  <dcterms:modified xsi:type="dcterms:W3CDTF">2021-06-25T05:11:00Z</dcterms:modified>
</cp:coreProperties>
</file>