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7088"/>
        <w:gridCol w:w="1559"/>
      </w:tblGrid>
      <w:tr w:rsidR="00D82BAA" w:rsidRPr="0022588A" w:rsidTr="003F04DD">
        <w:trPr>
          <w:trHeight w:val="28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Family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Transporter</w:t>
            </w:r>
          </w:p>
        </w:tc>
      </w:tr>
      <w:tr w:rsidR="00D82BAA" w:rsidRPr="0022588A" w:rsidTr="003F04DD">
        <w:trPr>
          <w:trHeight w:val="816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Facilitative GLUT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SLC2A6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Sodium glucose cotransporter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SLC5A3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SLC5A7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SLC5A12</w:t>
            </w:r>
          </w:p>
        </w:tc>
      </w:tr>
      <w:tr w:rsidR="00D82BAA" w:rsidRPr="0022588A" w:rsidTr="003F04DD">
        <w:trPr>
          <w:trHeight w:val="852"/>
        </w:trPr>
        <w:tc>
          <w:tcPr>
            <w:tcW w:w="70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Sodium- and chloride-dependent neurotransmitter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SLC6A7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SLC6A14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SLC6A17</w:t>
            </w:r>
          </w:p>
        </w:tc>
      </w:tr>
      <w:tr w:rsidR="00D82BAA" w:rsidRPr="0022588A" w:rsidTr="003F04DD">
        <w:trPr>
          <w:trHeight w:val="122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Cationic amino acid transporter/glycoprotein-associated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SLC7A4</w:t>
            </w:r>
          </w:p>
        </w:tc>
      </w:tr>
      <w:tr w:rsidR="00D82BAA" w:rsidRPr="0022588A" w:rsidTr="003F04DD">
        <w:trPr>
          <w:trHeight w:val="636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Na</w:t>
            </w: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/H</w:t>
            </w: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exchanger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SLC9A1</w:t>
            </w:r>
          </w:p>
        </w:tc>
      </w:tr>
      <w:tr w:rsidR="00D82BAA" w:rsidRPr="0022588A" w:rsidTr="003F04DD">
        <w:trPr>
          <w:trHeight w:val="816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Sodium bile salt cotransport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SLC10A4</w:t>
            </w:r>
          </w:p>
        </w:tc>
      </w:tr>
      <w:tr w:rsidR="00D82BAA" w:rsidRPr="0022588A" w:rsidTr="003F04DD">
        <w:trPr>
          <w:trHeight w:val="816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Folate/thiamine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SLC19A3</w:t>
            </w:r>
          </w:p>
        </w:tc>
      </w:tr>
      <w:tr w:rsidR="00D82BAA" w:rsidRPr="0022588A" w:rsidTr="003F04DD">
        <w:trPr>
          <w:trHeight w:val="816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Organic anion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SLC21A9</w:t>
            </w:r>
          </w:p>
        </w:tc>
      </w:tr>
      <w:tr w:rsidR="00D82BAA" w:rsidRPr="0022588A" w:rsidTr="003F04DD">
        <w:trPr>
          <w:trHeight w:val="732"/>
        </w:trPr>
        <w:tc>
          <w:tcPr>
            <w:tcW w:w="70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Organic cation/anion/zwitterion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SLC22A6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SLC22A24</w:t>
            </w:r>
          </w:p>
        </w:tc>
      </w:tr>
      <w:tr w:rsidR="00D82BAA" w:rsidRPr="0022588A" w:rsidTr="003F04DD">
        <w:trPr>
          <w:trHeight w:val="324"/>
        </w:trPr>
        <w:tc>
          <w:tcPr>
            <w:tcW w:w="70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Mitochondrial carrier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SLC25A13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SLC25A40</w:t>
            </w:r>
          </w:p>
        </w:tc>
      </w:tr>
      <w:tr w:rsidR="00D82BAA" w:rsidRPr="0022588A" w:rsidTr="003F04DD">
        <w:trPr>
          <w:trHeight w:val="816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Multifunctional anion exchanger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SLC26A11</w:t>
            </w:r>
          </w:p>
        </w:tc>
      </w:tr>
      <w:tr w:rsidR="00D82BAA" w:rsidRPr="0022588A" w:rsidTr="003F04DD">
        <w:trPr>
          <w:trHeight w:val="408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Zinc efflux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SLC30A3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Nucleoside-sugar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SLC35A2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SLC35A3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SLC35B1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SLC35B4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SLC35C1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SLC35D2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SLC35D3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SLC35E4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SLC35F1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SLC35F2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SLC35F3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SLC35F6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SLC35G2</w:t>
            </w:r>
          </w:p>
        </w:tc>
      </w:tr>
      <w:tr w:rsidR="00D82BAA" w:rsidRPr="0022588A" w:rsidTr="003F04DD">
        <w:trPr>
          <w:trHeight w:val="1020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Proton-coupled amino acid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SLC36A3</w:t>
            </w:r>
          </w:p>
        </w:tc>
      </w:tr>
      <w:tr w:rsidR="00D82BAA" w:rsidRPr="0022588A" w:rsidTr="003F04DD">
        <w:trPr>
          <w:trHeight w:val="1344"/>
        </w:trPr>
        <w:tc>
          <w:tcPr>
            <w:tcW w:w="70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System A and System N sodium-coupled neutral amino acid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SLC38A4</w:t>
            </w:r>
          </w:p>
        </w:tc>
      </w:tr>
      <w:tr w:rsidR="00D82BAA" w:rsidRPr="0022588A" w:rsidTr="003F04DD">
        <w:trPr>
          <w:trHeight w:val="288"/>
        </w:trPr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BAA" w:rsidRPr="0022588A" w:rsidRDefault="00D82BAA" w:rsidP="003F04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SLC38A6</w:t>
            </w:r>
          </w:p>
        </w:tc>
      </w:tr>
      <w:tr w:rsidR="00D82BAA" w:rsidRPr="0022588A" w:rsidTr="003F04DD">
        <w:trPr>
          <w:trHeight w:val="6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Metal ion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SLC39A5</w:t>
            </w:r>
          </w:p>
        </w:tc>
      </w:tr>
      <w:tr w:rsidR="00D82BAA" w:rsidRPr="0022588A" w:rsidTr="003F04DD">
        <w:trPr>
          <w:trHeight w:val="816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Basolateral iron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SLC40A1</w:t>
            </w:r>
          </w:p>
        </w:tc>
      </w:tr>
      <w:tr w:rsidR="00D82BAA" w:rsidRPr="0022588A" w:rsidTr="003F04DD">
        <w:trPr>
          <w:trHeight w:val="816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MgtE</w:t>
            </w:r>
            <w:proofErr w:type="spellEnd"/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-like magnesium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SLC41A2</w:t>
            </w:r>
          </w:p>
        </w:tc>
      </w:tr>
      <w:tr w:rsidR="00D82BAA" w:rsidRPr="0022588A" w:rsidTr="003F04DD">
        <w:trPr>
          <w:trHeight w:val="145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Na</w:t>
            </w: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-independent, system-L-like amino acid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SLC43A3</w:t>
            </w:r>
          </w:p>
        </w:tc>
      </w:tr>
      <w:tr w:rsidR="00D82BAA" w:rsidRPr="0022588A" w:rsidTr="003F04DD">
        <w:trPr>
          <w:trHeight w:val="6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Heme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SLC48A1</w:t>
            </w:r>
          </w:p>
        </w:tc>
      </w:tr>
      <w:tr w:rsidR="00D82BAA" w:rsidRPr="0022588A" w:rsidTr="003F04DD">
        <w:trPr>
          <w:trHeight w:val="6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Riboflavin transporter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BAA" w:rsidRPr="0022588A" w:rsidRDefault="00D82BAA" w:rsidP="003F04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22588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SLC52A3</w:t>
            </w:r>
          </w:p>
        </w:tc>
      </w:tr>
    </w:tbl>
    <w:p w:rsidR="00947B4E" w:rsidRDefault="00D82BAA"/>
    <w:p w:rsidR="00D82BAA" w:rsidRPr="00742311" w:rsidRDefault="00D82BAA" w:rsidP="00D82BAA">
      <w:pPr>
        <w:spacing w:line="480" w:lineRule="auto"/>
        <w:rPr>
          <w:rFonts w:ascii="Arial" w:hAnsi="Arial" w:cs="Arial"/>
          <w:bCs/>
          <w:color w:val="000000"/>
          <w:sz w:val="18"/>
          <w:szCs w:val="24"/>
          <w:shd w:val="clear" w:color="auto" w:fill="FFFFFF"/>
        </w:rPr>
      </w:pPr>
      <w:bookmarkStart w:id="0" w:name="_GoBack"/>
      <w:r w:rsidRPr="00742311">
        <w:rPr>
          <w:rFonts w:ascii="Arial" w:hAnsi="Arial" w:cs="Arial"/>
          <w:b/>
          <w:bCs/>
          <w:color w:val="000000"/>
          <w:sz w:val="18"/>
          <w:szCs w:val="24"/>
          <w:shd w:val="clear" w:color="auto" w:fill="FFFFFF"/>
        </w:rPr>
        <w:t xml:space="preserve">Supplementary </w:t>
      </w:r>
      <w:r>
        <w:rPr>
          <w:rFonts w:ascii="Arial" w:hAnsi="Arial" w:cs="Arial"/>
          <w:b/>
          <w:bCs/>
          <w:color w:val="000000"/>
          <w:sz w:val="18"/>
          <w:szCs w:val="24"/>
          <w:shd w:val="clear" w:color="auto" w:fill="FFFFFF"/>
        </w:rPr>
        <w:t xml:space="preserve">File </w:t>
      </w:r>
      <w:r w:rsidRPr="00742311">
        <w:rPr>
          <w:rFonts w:ascii="Arial" w:hAnsi="Arial" w:cs="Arial"/>
          <w:b/>
          <w:bCs/>
          <w:color w:val="000000"/>
          <w:sz w:val="18"/>
          <w:szCs w:val="24"/>
          <w:shd w:val="clear" w:color="auto" w:fill="FFFFFF"/>
        </w:rPr>
        <w:t xml:space="preserve">1. </w:t>
      </w:r>
      <w:r>
        <w:rPr>
          <w:rFonts w:ascii="Arial" w:hAnsi="Arial" w:cs="Arial"/>
          <w:b/>
          <w:bCs/>
          <w:color w:val="000000"/>
          <w:sz w:val="18"/>
          <w:szCs w:val="24"/>
          <w:shd w:val="clear" w:color="auto" w:fill="FFFFFF"/>
        </w:rPr>
        <w:t>Vesicular transporters identified in SLC localization profiling</w:t>
      </w:r>
      <w:bookmarkEnd w:id="0"/>
      <w:r>
        <w:rPr>
          <w:rFonts w:ascii="Arial" w:hAnsi="Arial" w:cs="Arial"/>
          <w:b/>
          <w:bCs/>
          <w:color w:val="000000"/>
          <w:sz w:val="18"/>
          <w:szCs w:val="24"/>
          <w:shd w:val="clear" w:color="auto" w:fill="FFFFFF"/>
        </w:rPr>
        <w:t xml:space="preserve"> (related to Figure 1)</w:t>
      </w:r>
    </w:p>
    <w:p w:rsidR="00D82BAA" w:rsidRPr="00D82BAA" w:rsidRDefault="00D82BAA">
      <w:pPr>
        <w:rPr>
          <w:rFonts w:hint="eastAsia"/>
        </w:rPr>
      </w:pPr>
    </w:p>
    <w:sectPr w:rsidR="00D82BAA" w:rsidRPr="00D8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AA"/>
    <w:rsid w:val="001E0D3C"/>
    <w:rsid w:val="003F6B48"/>
    <w:rsid w:val="00D82BAA"/>
    <w:rsid w:val="00E4252F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A5DD"/>
  <w15:chartTrackingRefBased/>
  <w15:docId w15:val="{1BBE23FF-7029-412A-8A29-B0507E29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</dc:creator>
  <cp:keywords/>
  <dc:description/>
  <cp:lastModifiedBy>qc</cp:lastModifiedBy>
  <cp:revision>1</cp:revision>
  <dcterms:created xsi:type="dcterms:W3CDTF">2021-05-18T13:04:00Z</dcterms:created>
  <dcterms:modified xsi:type="dcterms:W3CDTF">2021-05-18T13:05:00Z</dcterms:modified>
</cp:coreProperties>
</file>