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B2E68" w14:textId="385ECF6C" w:rsidR="00157171" w:rsidRPr="00CB3EBC" w:rsidRDefault="008E354D" w:rsidP="00157171">
      <w:pPr>
        <w:spacing w:line="360" w:lineRule="auto"/>
        <w:contextualSpacing/>
        <w:jc w:val="left"/>
        <w:rPr>
          <w:b/>
          <w:bCs/>
          <w:color w:val="000000" w:themeColor="text1"/>
        </w:rPr>
      </w:pPr>
      <w:r w:rsidRPr="008E354D">
        <w:rPr>
          <w:b/>
          <w:bCs/>
          <w:color w:val="000000" w:themeColor="text1"/>
        </w:rPr>
        <w:t xml:space="preserve">Supplement File </w:t>
      </w:r>
      <w:r w:rsidR="00CD72E5">
        <w:rPr>
          <w:b/>
          <w:bCs/>
          <w:color w:val="000000" w:themeColor="text1"/>
        </w:rPr>
        <w:t>3</w:t>
      </w:r>
      <w:r w:rsidR="0008766B" w:rsidRPr="00501068">
        <w:rPr>
          <w:b/>
          <w:bCs/>
          <w:color w:val="000000" w:themeColor="text1"/>
        </w:rPr>
        <w:t xml:space="preserve">. </w:t>
      </w:r>
      <w:r w:rsidR="00157171" w:rsidRPr="00501068">
        <w:rPr>
          <w:color w:val="000000" w:themeColor="text1"/>
        </w:rPr>
        <w:t xml:space="preserve">Univariate and multivariate </w:t>
      </w:r>
      <w:r w:rsidR="00157171">
        <w:rPr>
          <w:color w:val="000000" w:themeColor="text1"/>
        </w:rPr>
        <w:t>C</w:t>
      </w:r>
      <w:r w:rsidR="00157171" w:rsidRPr="00501068">
        <w:rPr>
          <w:color w:val="000000" w:themeColor="text1"/>
        </w:rPr>
        <w:t>ox regression analys</w:t>
      </w:r>
      <w:r w:rsidR="00157171">
        <w:rPr>
          <w:color w:val="000000" w:themeColor="text1"/>
        </w:rPr>
        <w:t>e</w:t>
      </w:r>
      <w:r w:rsidR="00157171" w:rsidRPr="00501068">
        <w:rPr>
          <w:color w:val="000000" w:themeColor="text1"/>
        </w:rPr>
        <w:t>s of clinicopathological factors as predictor</w:t>
      </w:r>
      <w:r w:rsidR="00157171">
        <w:rPr>
          <w:color w:val="000000" w:themeColor="text1"/>
        </w:rPr>
        <w:t>s</w:t>
      </w:r>
      <w:r w:rsidR="00157171" w:rsidRPr="00501068">
        <w:rPr>
          <w:color w:val="000000" w:themeColor="text1"/>
        </w:rPr>
        <w:t xml:space="preserve"> of DFS </w:t>
      </w:r>
    </w:p>
    <w:p w14:paraId="60003282" w14:textId="77777777" w:rsidR="00157171" w:rsidRPr="00501068" w:rsidRDefault="00157171" w:rsidP="00157171">
      <w:pPr>
        <w:spacing w:line="360" w:lineRule="auto"/>
        <w:contextualSpacing/>
        <w:jc w:val="left"/>
        <w:rPr>
          <w:b/>
          <w:bCs/>
          <w:color w:val="000000" w:themeColor="text1"/>
        </w:rPr>
      </w:pPr>
    </w:p>
    <w:tbl>
      <w:tblPr>
        <w:tblStyle w:val="a3"/>
        <w:tblW w:w="9792" w:type="dxa"/>
        <w:tblInd w:w="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2083"/>
        <w:gridCol w:w="1017"/>
        <w:gridCol w:w="240"/>
        <w:gridCol w:w="2192"/>
        <w:gridCol w:w="1050"/>
      </w:tblGrid>
      <w:tr w:rsidR="00157171" w:rsidRPr="00501068" w14:paraId="78F9D0D9" w14:textId="77777777" w:rsidTr="00E459C8">
        <w:trPr>
          <w:trHeight w:val="300"/>
        </w:trPr>
        <w:tc>
          <w:tcPr>
            <w:tcW w:w="3210" w:type="dxa"/>
            <w:tcBorders>
              <w:top w:val="single" w:sz="4" w:space="0" w:color="auto"/>
              <w:bottom w:val="nil"/>
            </w:tcBorders>
          </w:tcPr>
          <w:p w14:paraId="029E8045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Variables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B7EC8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rFonts w:asciiTheme="majorHAnsi" w:hAnsiTheme="majorHAnsi"/>
                <w:color w:val="000000" w:themeColor="text1"/>
                <w:sz w:val="20"/>
              </w:rPr>
            </w:pPr>
            <w:r w:rsidRPr="00501068">
              <w:rPr>
                <w:color w:val="000000" w:themeColor="text1"/>
              </w:rPr>
              <w:t>Univariate analysis</w:t>
            </w:r>
          </w:p>
        </w:tc>
        <w:tc>
          <w:tcPr>
            <w:tcW w:w="240" w:type="dxa"/>
            <w:tcBorders>
              <w:top w:val="single" w:sz="4" w:space="0" w:color="auto"/>
              <w:bottom w:val="nil"/>
            </w:tcBorders>
          </w:tcPr>
          <w:p w14:paraId="6F2B7C79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3192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rFonts w:asciiTheme="majorHAnsi" w:hAnsiTheme="majorHAnsi"/>
                <w:color w:val="000000" w:themeColor="text1"/>
                <w:sz w:val="20"/>
              </w:rPr>
            </w:pPr>
            <w:r w:rsidRPr="00501068">
              <w:rPr>
                <w:color w:val="000000" w:themeColor="text1"/>
              </w:rPr>
              <w:t>Multivariate analysis</w:t>
            </w:r>
          </w:p>
        </w:tc>
      </w:tr>
      <w:tr w:rsidR="00157171" w:rsidRPr="00501068" w14:paraId="6F7DBCCD" w14:textId="77777777" w:rsidTr="00E459C8">
        <w:trPr>
          <w:trHeight w:val="300"/>
        </w:trPr>
        <w:tc>
          <w:tcPr>
            <w:tcW w:w="3210" w:type="dxa"/>
            <w:tcBorders>
              <w:top w:val="nil"/>
              <w:bottom w:val="single" w:sz="4" w:space="0" w:color="auto"/>
            </w:tcBorders>
          </w:tcPr>
          <w:p w14:paraId="22CE1EA1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5879BB7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HR (95%CI)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511987D1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i/>
                <w:color w:val="000000" w:themeColor="text1"/>
              </w:rPr>
              <w:t>P</w:t>
            </w:r>
            <w:r w:rsidRPr="00501068">
              <w:rPr>
                <w:color w:val="000000" w:themeColor="text1"/>
              </w:rPr>
              <w:t>-value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</w:tcPr>
          <w:p w14:paraId="5B7C309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4662197B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HR (95%CI)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3C7855BB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i/>
                <w:color w:val="000000" w:themeColor="text1"/>
              </w:rPr>
              <w:t>P</w:t>
            </w:r>
            <w:r w:rsidRPr="00501068">
              <w:rPr>
                <w:color w:val="000000" w:themeColor="text1"/>
              </w:rPr>
              <w:t>-value</w:t>
            </w:r>
          </w:p>
        </w:tc>
      </w:tr>
      <w:tr w:rsidR="00157171" w:rsidRPr="00501068" w14:paraId="30C1C9F0" w14:textId="77777777" w:rsidTr="00E459C8">
        <w:trPr>
          <w:trHeight w:val="609"/>
        </w:trPr>
        <w:tc>
          <w:tcPr>
            <w:tcW w:w="3210" w:type="dxa"/>
            <w:tcBorders>
              <w:top w:val="single" w:sz="4" w:space="0" w:color="auto"/>
              <w:bottom w:val="nil"/>
            </w:tcBorders>
          </w:tcPr>
          <w:p w14:paraId="45C0E475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Percentage of CD44</w:t>
            </w:r>
            <w:r w:rsidRPr="00501068">
              <w:rPr>
                <w:color w:val="000000" w:themeColor="text1"/>
                <w:vertAlign w:val="superscript"/>
              </w:rPr>
              <w:t>-</w:t>
            </w:r>
            <w:r w:rsidRPr="00501068">
              <w:rPr>
                <w:color w:val="000000" w:themeColor="text1"/>
              </w:rPr>
              <w:t>/CD24</w:t>
            </w:r>
            <w:r w:rsidRPr="00501068">
              <w:rPr>
                <w:color w:val="000000" w:themeColor="text1"/>
                <w:vertAlign w:val="superscript"/>
              </w:rPr>
              <w:t>-</w:t>
            </w:r>
            <w:r w:rsidRPr="00501068">
              <w:rPr>
                <w:color w:val="000000" w:themeColor="text1"/>
              </w:rPr>
              <w:t xml:space="preserve"> cells</w:t>
            </w:r>
          </w:p>
          <w:p w14:paraId="14092A35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&gt;19.5% versus &lt;19.5%</w:t>
            </w:r>
          </w:p>
        </w:tc>
        <w:tc>
          <w:tcPr>
            <w:tcW w:w="2083" w:type="dxa"/>
            <w:tcBorders>
              <w:top w:val="single" w:sz="4" w:space="0" w:color="auto"/>
              <w:bottom w:val="nil"/>
            </w:tcBorders>
          </w:tcPr>
          <w:p w14:paraId="3EA4F497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59482DA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4.153 (2.727–6.326)</w:t>
            </w:r>
          </w:p>
        </w:tc>
        <w:tc>
          <w:tcPr>
            <w:tcW w:w="1017" w:type="dxa"/>
            <w:tcBorders>
              <w:top w:val="single" w:sz="4" w:space="0" w:color="auto"/>
              <w:bottom w:val="nil"/>
            </w:tcBorders>
          </w:tcPr>
          <w:p w14:paraId="410D4A79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</w:p>
          <w:p w14:paraId="35EECAC4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&lt;0.0001</w:t>
            </w:r>
          </w:p>
        </w:tc>
        <w:tc>
          <w:tcPr>
            <w:tcW w:w="240" w:type="dxa"/>
            <w:tcBorders>
              <w:top w:val="single" w:sz="4" w:space="0" w:color="auto"/>
              <w:bottom w:val="nil"/>
            </w:tcBorders>
          </w:tcPr>
          <w:p w14:paraId="24E58DA2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5773DD2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1A8B5D1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2.621 (1.631–4.214)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14:paraId="6F7EC684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  <w:shd w:val="clear" w:color="auto" w:fill="FFFCF0"/>
              </w:rPr>
            </w:pPr>
          </w:p>
          <w:p w14:paraId="6D92B8A0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&lt;0.0001</w:t>
            </w:r>
          </w:p>
        </w:tc>
      </w:tr>
      <w:tr w:rsidR="00157171" w:rsidRPr="00501068" w14:paraId="0B2DC77B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156CC0C0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Frequency of CD44+/CD24- cells</w:t>
            </w:r>
          </w:p>
          <w:p w14:paraId="082B40F2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≥2% versus &lt;2%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7E674A6B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5B9EE82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5.259 (3.548–7.794)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7A3CEE9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</w:p>
          <w:p w14:paraId="0E9B040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&lt;0.0001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6BF7733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F0BCE90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 xml:space="preserve"> </w:t>
            </w:r>
          </w:p>
          <w:p w14:paraId="53002C2C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3.712 (2.384–5.780)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48AB8739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  <w:shd w:val="clear" w:color="auto" w:fill="FFFCF0"/>
              </w:rPr>
            </w:pPr>
          </w:p>
          <w:p w14:paraId="776F7D7B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&lt;0.0001</w:t>
            </w:r>
          </w:p>
        </w:tc>
      </w:tr>
      <w:tr w:rsidR="00157171" w:rsidRPr="00501068" w14:paraId="6F33F392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764A6D75" w14:textId="77777777" w:rsidR="00157171" w:rsidRPr="00501068" w:rsidRDefault="00157171" w:rsidP="00E459C8">
            <w:pPr>
              <w:spacing w:line="360" w:lineRule="auto"/>
              <w:ind w:left="480" w:hangingChars="200" w:hanging="48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Lymph node involvement</w:t>
            </w:r>
          </w:p>
          <w:p w14:paraId="20560F0D" w14:textId="77777777" w:rsidR="00157171" w:rsidRPr="00501068" w:rsidRDefault="00157171" w:rsidP="00E459C8">
            <w:pPr>
              <w:spacing w:line="360" w:lineRule="auto"/>
              <w:ind w:leftChars="100" w:left="480" w:hangingChars="100" w:hanging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CF0"/>
              </w:rPr>
            </w:pPr>
            <w:r w:rsidRPr="00501068">
              <w:rPr>
                <w:color w:val="000000" w:themeColor="text1"/>
              </w:rPr>
              <w:t>Yes versus No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208C2EC8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3CEB65F4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1.672 (1.133–2.468)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2DB31D6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</w:p>
          <w:p w14:paraId="4B7CCBF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0.0096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DAAB09C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846024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60D21AB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0.322 (0.053–1.943)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77578571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73A72B4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0.21</w:t>
            </w:r>
          </w:p>
        </w:tc>
      </w:tr>
      <w:tr w:rsidR="00157171" w:rsidRPr="00501068" w14:paraId="66F95DE5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37140B78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N stage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1708D5E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903F569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0.0023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37EA90D7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CC35DD3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2DF339B3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0.027</w:t>
            </w:r>
          </w:p>
        </w:tc>
      </w:tr>
      <w:tr w:rsidR="00157171" w:rsidRPr="00501068" w14:paraId="3459E9B1" w14:textId="77777777" w:rsidTr="00E459C8">
        <w:trPr>
          <w:trHeight w:val="318"/>
        </w:trPr>
        <w:tc>
          <w:tcPr>
            <w:tcW w:w="3210" w:type="dxa"/>
            <w:tcBorders>
              <w:top w:val="nil"/>
              <w:bottom w:val="nil"/>
            </w:tcBorders>
          </w:tcPr>
          <w:p w14:paraId="0793FA2E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N1 versus N0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52F15DF9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1.510 (0.948–2.405)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10AEFA31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0.083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23C0F063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BD2BD7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3.693 (0.589–23.141)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1EBC2EB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0.16</w:t>
            </w:r>
          </w:p>
        </w:tc>
      </w:tr>
      <w:tr w:rsidR="00157171" w:rsidRPr="00501068" w14:paraId="50702E01" w14:textId="77777777" w:rsidTr="00E459C8">
        <w:trPr>
          <w:trHeight w:val="314"/>
        </w:trPr>
        <w:tc>
          <w:tcPr>
            <w:tcW w:w="3210" w:type="dxa"/>
            <w:tcBorders>
              <w:top w:val="nil"/>
              <w:bottom w:val="nil"/>
            </w:tcBorders>
          </w:tcPr>
          <w:p w14:paraId="78670DC1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N2 versus N0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248798E1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1.310 (0.599–2.864)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0100BBA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0.49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142B5C7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E88266A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2.437 (0.292–20.316)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28369148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0.41</w:t>
            </w:r>
          </w:p>
        </w:tc>
      </w:tr>
      <w:tr w:rsidR="00157171" w:rsidRPr="00501068" w14:paraId="12519ED9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7AA1B4B3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N3 versus N0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289E3D27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3.776 (2.031–7.019)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599CBA0A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&lt;0.0001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6C99E64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724FB8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10.166 (1.066–96.998)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10D33980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0.043</w:t>
            </w:r>
          </w:p>
        </w:tc>
      </w:tr>
      <w:tr w:rsidR="00157171" w:rsidRPr="00501068" w14:paraId="58A982B6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604798E9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 xml:space="preserve">Molecular </w:t>
            </w:r>
            <w:r>
              <w:rPr>
                <w:color w:val="000000" w:themeColor="text1"/>
              </w:rPr>
              <w:t>s</w:t>
            </w:r>
            <w:r w:rsidRPr="00501068">
              <w:rPr>
                <w:color w:val="000000" w:themeColor="text1"/>
              </w:rPr>
              <w:t>ubtype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35C217A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721363C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0.025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6CE77C8B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7A1C3A1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63DAB6F3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0.020</w:t>
            </w:r>
          </w:p>
        </w:tc>
      </w:tr>
      <w:tr w:rsidR="00157171" w:rsidRPr="00501068" w14:paraId="4DBF516B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7A08524F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HER-2 versus Luminal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2C4AAAD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1.296 (0.658–2.553)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789DE64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0.45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F2570B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A61831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79EE805C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</w:tr>
      <w:tr w:rsidR="00157171" w:rsidRPr="00501068" w14:paraId="2F18E7F8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3FA3436C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TNBC versus Luminal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755E5FF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1.762 (1.160–2.677)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095AAB4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0.0079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48C298FA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C7383A3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4.190 (1.244–4.106)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268DF5BC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0.020</w:t>
            </w:r>
          </w:p>
        </w:tc>
      </w:tr>
      <w:tr w:rsidR="00157171" w:rsidRPr="00501068" w14:paraId="117EFA4F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6987D12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Clinical stage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1A70EBD7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791462E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0.0094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1E243DC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F628B6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328ACA48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0.90</w:t>
            </w:r>
          </w:p>
        </w:tc>
      </w:tr>
      <w:tr w:rsidR="00157171" w:rsidRPr="00501068" w14:paraId="1527FC53" w14:textId="77777777" w:rsidTr="00E459C8">
        <w:trPr>
          <w:trHeight w:val="291"/>
        </w:trPr>
        <w:tc>
          <w:tcPr>
            <w:tcW w:w="3210" w:type="dxa"/>
            <w:tcBorders>
              <w:top w:val="nil"/>
              <w:bottom w:val="nil"/>
            </w:tcBorders>
          </w:tcPr>
          <w:p w14:paraId="4F556D7C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 xml:space="preserve">II vs. I 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1B55FE2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1.414 (0.887–2.255)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D03B1F3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0.145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21CE8F52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C5D00A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1.065 (0.544–2.085)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66EFB60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0.85</w:t>
            </w:r>
          </w:p>
        </w:tc>
      </w:tr>
      <w:tr w:rsidR="00157171" w:rsidRPr="00501068" w14:paraId="3D1BF1FF" w14:textId="77777777" w:rsidTr="00E459C8">
        <w:trPr>
          <w:trHeight w:val="487"/>
        </w:trPr>
        <w:tc>
          <w:tcPr>
            <w:tcW w:w="3210" w:type="dxa"/>
            <w:tcBorders>
              <w:top w:val="nil"/>
              <w:bottom w:val="nil"/>
            </w:tcBorders>
          </w:tcPr>
          <w:p w14:paraId="3A07A956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III vs. I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52F8100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2.581 (1.433–4.649)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118B9079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0.0016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323220B7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81DCD2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1.358 (0.358–5.157)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3A53D4EA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0.6526</w:t>
            </w:r>
          </w:p>
        </w:tc>
      </w:tr>
      <w:tr w:rsidR="00157171" w:rsidRPr="00501068" w14:paraId="72388C4F" w14:textId="77777777" w:rsidTr="00E459C8">
        <w:trPr>
          <w:trHeight w:val="487"/>
        </w:trPr>
        <w:tc>
          <w:tcPr>
            <w:tcW w:w="3210" w:type="dxa"/>
            <w:tcBorders>
              <w:top w:val="nil"/>
              <w:bottom w:val="nil"/>
            </w:tcBorders>
          </w:tcPr>
          <w:p w14:paraId="741F8712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 xml:space="preserve">Ki67 </w:t>
            </w:r>
            <w:r>
              <w:rPr>
                <w:color w:val="000000" w:themeColor="text1"/>
              </w:rPr>
              <w:t>i</w:t>
            </w:r>
            <w:r w:rsidRPr="00501068">
              <w:rPr>
                <w:color w:val="000000" w:themeColor="text1"/>
              </w:rPr>
              <w:t>ndex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788DA9A8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6DB2966D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b/>
                <w:bCs/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0.020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7741D24C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32DB3C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7B57CBF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0.16</w:t>
            </w:r>
          </w:p>
        </w:tc>
      </w:tr>
      <w:tr w:rsidR="00157171" w:rsidRPr="00501068" w14:paraId="68E262EC" w14:textId="77777777" w:rsidTr="00E459C8">
        <w:trPr>
          <w:trHeight w:val="487"/>
        </w:trPr>
        <w:tc>
          <w:tcPr>
            <w:tcW w:w="3210" w:type="dxa"/>
            <w:tcBorders>
              <w:top w:val="nil"/>
              <w:bottom w:val="nil"/>
            </w:tcBorders>
          </w:tcPr>
          <w:p w14:paraId="7E6B9AEC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14%-30% versus 0-14%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123430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1.765 (0.813–</w:t>
            </w:r>
            <w:r w:rsidRPr="00501068">
              <w:rPr>
                <w:color w:val="000000" w:themeColor="text1"/>
              </w:rPr>
              <w:lastRenderedPageBreak/>
              <w:t>3.832)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0D0122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lastRenderedPageBreak/>
              <w:t>0.15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9563AF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C21DDC4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1.760 (0.769–4.029)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4A458A95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0.18</w:t>
            </w:r>
          </w:p>
        </w:tc>
      </w:tr>
      <w:tr w:rsidR="00157171" w:rsidRPr="00501068" w14:paraId="2DAC2A4C" w14:textId="77777777" w:rsidTr="00E459C8">
        <w:trPr>
          <w:trHeight w:val="487"/>
        </w:trPr>
        <w:tc>
          <w:tcPr>
            <w:tcW w:w="3210" w:type="dxa"/>
            <w:tcBorders>
              <w:top w:val="nil"/>
              <w:bottom w:val="nil"/>
            </w:tcBorders>
          </w:tcPr>
          <w:p w14:paraId="4FF9EE0C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&gt;30% versus 0-14%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422E14E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1.904 (1.201–3.017)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7CE5CEB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0.0061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17393886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  <w:shd w:val="clear" w:color="auto" w:fill="FFFCF0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93A3CE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1.520 (0.911–2.536)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1A403E8B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0.10</w:t>
            </w:r>
          </w:p>
        </w:tc>
      </w:tr>
      <w:tr w:rsidR="00157171" w:rsidRPr="00501068" w14:paraId="2B4DA5A4" w14:textId="77777777" w:rsidTr="00E459C8">
        <w:trPr>
          <w:trHeight w:val="336"/>
        </w:trPr>
        <w:tc>
          <w:tcPr>
            <w:tcW w:w="3210" w:type="dxa"/>
            <w:tcBorders>
              <w:top w:val="nil"/>
              <w:bottom w:val="single" w:sz="4" w:space="0" w:color="auto"/>
            </w:tcBorders>
          </w:tcPr>
          <w:p w14:paraId="40DF6A3E" w14:textId="77777777" w:rsidR="00157171" w:rsidRPr="00501068" w:rsidRDefault="00157171" w:rsidP="00E459C8">
            <w:pPr>
              <w:spacing w:line="360" w:lineRule="auto"/>
              <w:contextualSpacing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PR status</w:t>
            </w:r>
          </w:p>
          <w:p w14:paraId="55FBB50C" w14:textId="77777777" w:rsidR="00157171" w:rsidRPr="00501068" w:rsidRDefault="00157171" w:rsidP="00E459C8">
            <w:pPr>
              <w:spacing w:line="360" w:lineRule="auto"/>
              <w:ind w:firstLineChars="100" w:firstLine="240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501068">
              <w:rPr>
                <w:color w:val="000000" w:themeColor="text1"/>
              </w:rPr>
              <w:t>Positive versus Negative</w:t>
            </w:r>
          </w:p>
        </w:tc>
        <w:tc>
          <w:tcPr>
            <w:tcW w:w="2083" w:type="dxa"/>
            <w:tcBorders>
              <w:top w:val="nil"/>
              <w:bottom w:val="single" w:sz="4" w:space="0" w:color="auto"/>
            </w:tcBorders>
          </w:tcPr>
          <w:p w14:paraId="345D761C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0088E778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0.595 (0.395–0.896)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1F248B29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57FB6FF2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b/>
                <w:bCs/>
                <w:color w:val="000000" w:themeColor="text1"/>
              </w:rPr>
              <w:t>0.012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</w:tcPr>
          <w:p w14:paraId="64028A44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507F31B6" w14:textId="77777777" w:rsidR="00157171" w:rsidRPr="00501068" w:rsidRDefault="00157171" w:rsidP="00E459C8">
            <w:pPr>
              <w:widowControl/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3AA2F93F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0.801 (0.372–1.723)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14:paraId="1940AF78" w14:textId="77777777" w:rsidR="00157171" w:rsidRPr="00501068" w:rsidRDefault="00157171" w:rsidP="00E459C8">
            <w:pPr>
              <w:widowControl/>
              <w:spacing w:line="360" w:lineRule="auto"/>
              <w:contextualSpacing/>
              <w:jc w:val="left"/>
              <w:rPr>
                <w:color w:val="000000" w:themeColor="text1"/>
              </w:rPr>
            </w:pPr>
          </w:p>
          <w:p w14:paraId="6198504E" w14:textId="77777777" w:rsidR="00157171" w:rsidRPr="00501068" w:rsidRDefault="00157171" w:rsidP="00E459C8">
            <w:pPr>
              <w:spacing w:line="360" w:lineRule="auto"/>
              <w:contextualSpacing/>
              <w:jc w:val="left"/>
              <w:rPr>
                <w:color w:val="000000" w:themeColor="text1"/>
              </w:rPr>
            </w:pPr>
            <w:r w:rsidRPr="00501068">
              <w:rPr>
                <w:color w:val="000000" w:themeColor="text1"/>
              </w:rPr>
              <w:t>0.56</w:t>
            </w:r>
          </w:p>
        </w:tc>
      </w:tr>
    </w:tbl>
    <w:p w14:paraId="5CD84E3B" w14:textId="77777777" w:rsidR="00157171" w:rsidRPr="00501068" w:rsidRDefault="00157171" w:rsidP="00157171">
      <w:pPr>
        <w:spacing w:line="360" w:lineRule="auto"/>
        <w:contextualSpacing/>
        <w:jc w:val="left"/>
        <w:rPr>
          <w:color w:val="000000" w:themeColor="text1"/>
          <w:vertAlign w:val="superscript"/>
        </w:rPr>
      </w:pPr>
    </w:p>
    <w:p w14:paraId="713E1C7A" w14:textId="44749D29" w:rsidR="00157171" w:rsidRPr="00501068" w:rsidRDefault="00157171" w:rsidP="00157171">
      <w:pPr>
        <w:spacing w:line="240" w:lineRule="auto"/>
        <w:jc w:val="left"/>
        <w:rPr>
          <w:rFonts w:eastAsiaTheme="minorEastAsia"/>
          <w:color w:val="000000" w:themeColor="text1"/>
        </w:rPr>
      </w:pPr>
    </w:p>
    <w:sectPr w:rsidR="00157171" w:rsidRPr="00501068" w:rsidSect="004D18C7">
      <w:footerReference w:type="default" r:id="rId6"/>
      <w:footnotePr>
        <w:numRestart w:val="eachSect"/>
      </w:footnotePr>
      <w:endnotePr>
        <w:numFmt w:val="decimal"/>
        <w:numRestart w:val="eachSect"/>
      </w:endnotePr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3B571" w14:textId="77777777" w:rsidR="00D4040F" w:rsidRDefault="00D4040F">
      <w:pPr>
        <w:spacing w:line="240" w:lineRule="auto"/>
      </w:pPr>
      <w:r>
        <w:separator/>
      </w:r>
    </w:p>
  </w:endnote>
  <w:endnote w:type="continuationSeparator" w:id="0">
    <w:p w14:paraId="2C3D4C40" w14:textId="77777777" w:rsidR="00D4040F" w:rsidRDefault="00D4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E38D" w14:textId="77777777" w:rsidR="00913C58" w:rsidRPr="00AC7912" w:rsidRDefault="00157171">
    <w:pPr>
      <w:jc w:val="center"/>
      <w:rPr>
        <w:sz w:val="22"/>
        <w:szCs w:val="22"/>
      </w:rPr>
    </w:pPr>
    <w:r w:rsidRPr="00AC7912">
      <w:rPr>
        <w:sz w:val="22"/>
        <w:szCs w:val="22"/>
      </w:rPr>
      <w:fldChar w:fldCharType="begin"/>
    </w:r>
    <w:r w:rsidRPr="00AC7912">
      <w:rPr>
        <w:sz w:val="22"/>
        <w:szCs w:val="22"/>
      </w:rPr>
      <w:instrText>PAGE \* MERGEFORMAT</w:instrText>
    </w:r>
    <w:r w:rsidRPr="00AC7912">
      <w:rPr>
        <w:sz w:val="22"/>
        <w:szCs w:val="22"/>
      </w:rPr>
      <w:fldChar w:fldCharType="separate"/>
    </w:r>
    <w:r>
      <w:rPr>
        <w:noProof/>
        <w:sz w:val="22"/>
        <w:szCs w:val="22"/>
      </w:rPr>
      <w:t>32</w:t>
    </w:r>
    <w:r w:rsidRPr="00AC791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7BC8B" w14:textId="77777777" w:rsidR="00D4040F" w:rsidRDefault="00D4040F">
      <w:pPr>
        <w:spacing w:line="240" w:lineRule="auto"/>
      </w:pPr>
      <w:r>
        <w:separator/>
      </w:r>
    </w:p>
  </w:footnote>
  <w:footnote w:type="continuationSeparator" w:id="0">
    <w:p w14:paraId="626B1A2A" w14:textId="77777777" w:rsidR="00D4040F" w:rsidRDefault="00D404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71"/>
    <w:rsid w:val="00014940"/>
    <w:rsid w:val="0008766B"/>
    <w:rsid w:val="00092AA4"/>
    <w:rsid w:val="000A3547"/>
    <w:rsid w:val="000C34D1"/>
    <w:rsid w:val="00101C94"/>
    <w:rsid w:val="00104B04"/>
    <w:rsid w:val="00121A86"/>
    <w:rsid w:val="00135FBF"/>
    <w:rsid w:val="00157171"/>
    <w:rsid w:val="00173268"/>
    <w:rsid w:val="001A7B0C"/>
    <w:rsid w:val="001C68F0"/>
    <w:rsid w:val="00214131"/>
    <w:rsid w:val="00235FA4"/>
    <w:rsid w:val="00247F31"/>
    <w:rsid w:val="00264652"/>
    <w:rsid w:val="00281EA6"/>
    <w:rsid w:val="002B09FF"/>
    <w:rsid w:val="002C0923"/>
    <w:rsid w:val="002D148E"/>
    <w:rsid w:val="002D4AD8"/>
    <w:rsid w:val="002E7C90"/>
    <w:rsid w:val="002F03C6"/>
    <w:rsid w:val="00324039"/>
    <w:rsid w:val="0033150F"/>
    <w:rsid w:val="003348FC"/>
    <w:rsid w:val="00340ED7"/>
    <w:rsid w:val="00347D0A"/>
    <w:rsid w:val="00370F87"/>
    <w:rsid w:val="00383E43"/>
    <w:rsid w:val="003F674F"/>
    <w:rsid w:val="00467624"/>
    <w:rsid w:val="00483AF5"/>
    <w:rsid w:val="004A4BB3"/>
    <w:rsid w:val="004C797F"/>
    <w:rsid w:val="004E3C57"/>
    <w:rsid w:val="004F2FBE"/>
    <w:rsid w:val="00507463"/>
    <w:rsid w:val="005227C3"/>
    <w:rsid w:val="00561B5C"/>
    <w:rsid w:val="00581323"/>
    <w:rsid w:val="00586247"/>
    <w:rsid w:val="00592F2E"/>
    <w:rsid w:val="005D58CE"/>
    <w:rsid w:val="005D5AAF"/>
    <w:rsid w:val="0065418D"/>
    <w:rsid w:val="006661C0"/>
    <w:rsid w:val="006B1F7B"/>
    <w:rsid w:val="006C0DED"/>
    <w:rsid w:val="006D1CFA"/>
    <w:rsid w:val="006E1C8F"/>
    <w:rsid w:val="006E6FB0"/>
    <w:rsid w:val="00704B27"/>
    <w:rsid w:val="0074109B"/>
    <w:rsid w:val="00750C6B"/>
    <w:rsid w:val="00772FDA"/>
    <w:rsid w:val="00806909"/>
    <w:rsid w:val="008314BA"/>
    <w:rsid w:val="00856DAE"/>
    <w:rsid w:val="00862E0F"/>
    <w:rsid w:val="00897EBC"/>
    <w:rsid w:val="008B2F4C"/>
    <w:rsid w:val="008E354D"/>
    <w:rsid w:val="0091618B"/>
    <w:rsid w:val="00937353"/>
    <w:rsid w:val="009622F8"/>
    <w:rsid w:val="00976E9B"/>
    <w:rsid w:val="009924E4"/>
    <w:rsid w:val="009A45B0"/>
    <w:rsid w:val="009C4FB9"/>
    <w:rsid w:val="009C5FCF"/>
    <w:rsid w:val="00A24A6B"/>
    <w:rsid w:val="00A40E79"/>
    <w:rsid w:val="00A44798"/>
    <w:rsid w:val="00A71640"/>
    <w:rsid w:val="00AA4476"/>
    <w:rsid w:val="00AC6964"/>
    <w:rsid w:val="00B01E42"/>
    <w:rsid w:val="00B37C4E"/>
    <w:rsid w:val="00BB60B2"/>
    <w:rsid w:val="00BD439F"/>
    <w:rsid w:val="00BF4B0F"/>
    <w:rsid w:val="00C366DB"/>
    <w:rsid w:val="00C46A20"/>
    <w:rsid w:val="00C75CCC"/>
    <w:rsid w:val="00C93306"/>
    <w:rsid w:val="00CB3EBC"/>
    <w:rsid w:val="00CC71DB"/>
    <w:rsid w:val="00CD652A"/>
    <w:rsid w:val="00CD72E5"/>
    <w:rsid w:val="00CE28BA"/>
    <w:rsid w:val="00CF4001"/>
    <w:rsid w:val="00CF490D"/>
    <w:rsid w:val="00D0521C"/>
    <w:rsid w:val="00D4040F"/>
    <w:rsid w:val="00D5184D"/>
    <w:rsid w:val="00DB6B4C"/>
    <w:rsid w:val="00DB6BE3"/>
    <w:rsid w:val="00DE661E"/>
    <w:rsid w:val="00E13E4F"/>
    <w:rsid w:val="00E560B4"/>
    <w:rsid w:val="00E633E1"/>
    <w:rsid w:val="00E76CDC"/>
    <w:rsid w:val="00E87743"/>
    <w:rsid w:val="00EF4A4C"/>
    <w:rsid w:val="00F07560"/>
    <w:rsid w:val="00F2214F"/>
    <w:rsid w:val="00F32227"/>
    <w:rsid w:val="00F73804"/>
    <w:rsid w:val="00F933FA"/>
    <w:rsid w:val="00FE1BD2"/>
    <w:rsid w:val="00FE32E0"/>
    <w:rsid w:val="00FE63BE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E5ECA"/>
  <w15:chartTrackingRefBased/>
  <w15:docId w15:val="{727CF9BB-2611-9342-B2CC-978678E1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71"/>
    <w:pPr>
      <w:spacing w:line="480" w:lineRule="atLeast"/>
      <w:jc w:val="both"/>
    </w:pPr>
    <w:rPr>
      <w:rFonts w:ascii="Times New Roman" w:eastAsia="宋体" w:hAnsi="Times New Roman" w:cs="Times New Roman"/>
      <w:kern w:val="0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57171"/>
    <w:pPr>
      <w:widowControl w:val="0"/>
      <w:jc w:val="both"/>
    </w:pPr>
    <w:rPr>
      <w:rFonts w:ascii="Times New Roman" w:eastAsia="宋体" w:hAnsi="Times New Roman" w:cs="Times New Roman"/>
      <w:kern w:val="0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match">
    <w:name w:val="searchmatch"/>
    <w:basedOn w:val="a0"/>
    <w:rsid w:val="0065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乔新博</dc:creator>
  <cp:keywords/>
  <dc:description/>
  <cp:lastModifiedBy>乔新博</cp:lastModifiedBy>
  <cp:revision>16</cp:revision>
  <dcterms:created xsi:type="dcterms:W3CDTF">2020-10-19T02:05:00Z</dcterms:created>
  <dcterms:modified xsi:type="dcterms:W3CDTF">2021-07-09T07:25:00Z</dcterms:modified>
</cp:coreProperties>
</file>