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D3592A" w:rsidR="00877644" w:rsidRPr="00354B75" w:rsidRDefault="00354B75" w:rsidP="00354B7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4B75">
        <w:rPr>
          <w:rFonts w:asciiTheme="minorHAnsi" w:hAnsiTheme="minorHAnsi"/>
          <w:sz w:val="22"/>
          <w:szCs w:val="22"/>
        </w:rPr>
        <w:t xml:space="preserve">No explicit power analysis </w:t>
      </w:r>
      <w:r>
        <w:rPr>
          <w:rFonts w:asciiTheme="minorHAnsi" w:hAnsiTheme="minorHAnsi"/>
          <w:sz w:val="22"/>
          <w:szCs w:val="22"/>
        </w:rPr>
        <w:t>and s</w:t>
      </w:r>
      <w:r w:rsidRPr="00354B75">
        <w:rPr>
          <w:rFonts w:asciiTheme="minorHAnsi" w:hAnsiTheme="minorHAnsi"/>
          <w:sz w:val="22"/>
          <w:szCs w:val="22"/>
        </w:rPr>
        <w:t xml:space="preserve">ample size </w:t>
      </w:r>
      <w:r>
        <w:rPr>
          <w:rFonts w:asciiTheme="minorHAnsi" w:hAnsiTheme="minorHAnsi"/>
          <w:sz w:val="22"/>
          <w:szCs w:val="22"/>
        </w:rPr>
        <w:t xml:space="preserve">of the </w:t>
      </w:r>
      <w:r w:rsidRPr="00354B75">
        <w:rPr>
          <w:rFonts w:asciiTheme="minorHAnsi" w:hAnsiTheme="minorHAnsi"/>
          <w:sz w:val="22"/>
          <w:szCs w:val="22"/>
        </w:rPr>
        <w:t>experiment</w:t>
      </w:r>
      <w:r>
        <w:rPr>
          <w:rFonts w:asciiTheme="minorHAnsi" w:hAnsiTheme="minorHAnsi"/>
          <w:sz w:val="22"/>
          <w:szCs w:val="22"/>
        </w:rPr>
        <w:t>s</w:t>
      </w:r>
      <w:r w:rsidRPr="00354B75">
        <w:rPr>
          <w:rFonts w:asciiTheme="minorHAnsi" w:hAnsiTheme="minorHAnsi"/>
          <w:sz w:val="22"/>
          <w:szCs w:val="22"/>
        </w:rPr>
        <w:t xml:space="preserve"> </w:t>
      </w:r>
      <w:r w:rsidR="00A7780E">
        <w:rPr>
          <w:rFonts w:asciiTheme="minorHAnsi" w:hAnsiTheme="minorHAnsi"/>
          <w:sz w:val="22"/>
          <w:szCs w:val="22"/>
        </w:rPr>
        <w:t>were</w:t>
      </w:r>
      <w:r w:rsidRPr="00354B75">
        <w:rPr>
          <w:rFonts w:asciiTheme="minorHAnsi" w:hAnsiTheme="minorHAnsi"/>
          <w:sz w:val="22"/>
          <w:szCs w:val="22"/>
        </w:rPr>
        <w:t xml:space="preserve"> based on prior </w:t>
      </w:r>
      <w:r>
        <w:rPr>
          <w:rFonts w:asciiTheme="minorHAnsi" w:hAnsiTheme="minorHAnsi"/>
          <w:sz w:val="22"/>
          <w:szCs w:val="22"/>
        </w:rPr>
        <w:t xml:space="preserve">published </w:t>
      </w:r>
      <w:r w:rsidRPr="00354B75">
        <w:rPr>
          <w:rFonts w:asciiTheme="minorHAnsi" w:hAnsiTheme="minorHAnsi"/>
          <w:sz w:val="22"/>
          <w:szCs w:val="22"/>
        </w:rPr>
        <w:t>protocols</w:t>
      </w:r>
      <w:r>
        <w:rPr>
          <w:rFonts w:asciiTheme="minorHAnsi" w:hAnsiTheme="minorHAnsi"/>
          <w:sz w:val="22"/>
          <w:szCs w:val="22"/>
        </w:rPr>
        <w:t xml:space="preserve">. Sample </w:t>
      </w:r>
      <w:r w:rsidR="00A7780E">
        <w:rPr>
          <w:rFonts w:asciiTheme="minorHAnsi" w:hAnsiTheme="minorHAnsi"/>
          <w:sz w:val="22"/>
          <w:szCs w:val="22"/>
        </w:rPr>
        <w:t>sizes</w:t>
      </w:r>
      <w:r>
        <w:rPr>
          <w:rFonts w:asciiTheme="minorHAnsi" w:hAnsiTheme="minorHAnsi"/>
          <w:sz w:val="22"/>
          <w:szCs w:val="22"/>
        </w:rPr>
        <w:t xml:space="preserve"> have been described in the materials and methods and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CB635B" w14:textId="4C2CD5FF" w:rsidR="00271485" w:rsidRDefault="00271485" w:rsidP="002714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1485">
        <w:rPr>
          <w:rFonts w:asciiTheme="minorHAnsi" w:hAnsiTheme="minorHAnsi"/>
          <w:sz w:val="22"/>
          <w:szCs w:val="22"/>
        </w:rPr>
        <w:t xml:space="preserve">Replicate information for </w:t>
      </w:r>
      <w:r>
        <w:rPr>
          <w:rFonts w:asciiTheme="minorHAnsi" w:hAnsiTheme="minorHAnsi"/>
          <w:sz w:val="22"/>
          <w:szCs w:val="22"/>
        </w:rPr>
        <w:t xml:space="preserve">each experiment is described in </w:t>
      </w:r>
      <w:r w:rsidRPr="00271485">
        <w:rPr>
          <w:rFonts w:asciiTheme="minorHAnsi" w:hAnsiTheme="minorHAnsi"/>
          <w:sz w:val="22"/>
          <w:szCs w:val="22"/>
        </w:rPr>
        <w:t xml:space="preserve">Materials and </w:t>
      </w:r>
      <w:r w:rsidR="00A7780E">
        <w:rPr>
          <w:rFonts w:asciiTheme="minorHAnsi" w:hAnsiTheme="minorHAnsi"/>
          <w:sz w:val="22"/>
          <w:szCs w:val="22"/>
        </w:rPr>
        <w:t>m</w:t>
      </w:r>
      <w:r w:rsidRPr="00271485">
        <w:rPr>
          <w:rFonts w:asciiTheme="minorHAnsi" w:hAnsiTheme="minorHAnsi"/>
          <w:sz w:val="22"/>
          <w:szCs w:val="22"/>
        </w:rPr>
        <w:t>ethods</w:t>
      </w:r>
      <w:r w:rsidR="00A7780E">
        <w:rPr>
          <w:rFonts w:asciiTheme="minorHAnsi" w:hAnsiTheme="minorHAnsi"/>
          <w:sz w:val="22"/>
          <w:szCs w:val="22"/>
        </w:rPr>
        <w:t>.</w:t>
      </w:r>
    </w:p>
    <w:p w14:paraId="5E5A7273" w14:textId="35929620" w:rsidR="00A7780E" w:rsidRDefault="00271485" w:rsidP="002714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inclusion</w:t>
      </w:r>
      <w:r w:rsidRPr="00271485">
        <w:rPr>
          <w:rFonts w:asciiTheme="minorHAnsi" w:hAnsiTheme="minorHAnsi"/>
          <w:sz w:val="22"/>
          <w:szCs w:val="22"/>
        </w:rPr>
        <w:t xml:space="preserve"> criteria </w:t>
      </w:r>
      <w:r>
        <w:rPr>
          <w:rFonts w:asciiTheme="minorHAnsi" w:hAnsiTheme="minorHAnsi"/>
          <w:sz w:val="22"/>
          <w:szCs w:val="22"/>
        </w:rPr>
        <w:t>ha</w:t>
      </w:r>
      <w:r w:rsidR="00A7780E">
        <w:rPr>
          <w:rFonts w:asciiTheme="minorHAnsi" w:hAnsiTheme="minorHAnsi"/>
          <w:sz w:val="22"/>
          <w:szCs w:val="22"/>
        </w:rPr>
        <w:t>ve</w:t>
      </w:r>
      <w:r>
        <w:rPr>
          <w:rFonts w:asciiTheme="minorHAnsi" w:hAnsiTheme="minorHAnsi"/>
          <w:sz w:val="22"/>
          <w:szCs w:val="22"/>
        </w:rPr>
        <w:t xml:space="preserve"> been described in </w:t>
      </w:r>
      <w:r w:rsidRPr="00271485">
        <w:rPr>
          <w:rFonts w:asciiTheme="minorHAnsi" w:hAnsiTheme="minorHAnsi"/>
          <w:sz w:val="22"/>
          <w:szCs w:val="22"/>
        </w:rPr>
        <w:t>Materials and Methods</w:t>
      </w:r>
      <w:r w:rsidR="00A7780E">
        <w:rPr>
          <w:rFonts w:asciiTheme="minorHAnsi" w:hAnsiTheme="minorHAnsi"/>
          <w:sz w:val="22"/>
          <w:szCs w:val="22"/>
        </w:rPr>
        <w:t>.</w:t>
      </w:r>
    </w:p>
    <w:p w14:paraId="4FDC6EDC" w14:textId="37CD8F10" w:rsidR="00271485" w:rsidRDefault="00271485" w:rsidP="002714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</w:t>
      </w:r>
      <w:proofErr w:type="spellStart"/>
      <w:r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  <w:vertAlign w:val="subscript"/>
        </w:rPr>
        <w:t>q</w:t>
      </w:r>
      <w:proofErr w:type="spellEnd"/>
      <w:r>
        <w:rPr>
          <w:rFonts w:asciiTheme="minorHAnsi" w:hAnsiTheme="minorHAnsi"/>
          <w:sz w:val="22"/>
          <w:szCs w:val="22"/>
        </w:rPr>
        <w:t xml:space="preserve"> values have been provided for each of the replicates for the experiment where expression of mitochondrial transcripts and </w:t>
      </w:r>
      <w:proofErr w:type="spellStart"/>
      <w:r w:rsidRPr="00271485">
        <w:rPr>
          <w:rFonts w:asciiTheme="minorHAnsi" w:hAnsiTheme="minorHAnsi"/>
          <w:i/>
          <w:iCs/>
          <w:sz w:val="22"/>
          <w:szCs w:val="22"/>
        </w:rPr>
        <w:t>lrpprc</w:t>
      </w:r>
      <w:proofErr w:type="spellEnd"/>
      <w:r>
        <w:rPr>
          <w:rFonts w:asciiTheme="minorHAnsi" w:hAnsiTheme="minorHAnsi"/>
          <w:sz w:val="22"/>
          <w:szCs w:val="22"/>
        </w:rPr>
        <w:t xml:space="preserve"> has been measured. Please see </w:t>
      </w:r>
      <w:r w:rsidR="00A7780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source file information below for more details.</w:t>
      </w:r>
      <w:r>
        <w:rPr>
          <w:rFonts w:asciiTheme="minorHAnsi" w:hAnsiTheme="minorHAnsi"/>
          <w:sz w:val="22"/>
          <w:szCs w:val="22"/>
        </w:rPr>
        <w:br/>
        <w:t xml:space="preserve">RNA sequencing FASTQ raw reads have been uploaded for each of the replicates on NCBI SRA repository ID </w:t>
      </w:r>
      <w:r w:rsidRPr="00271485">
        <w:rPr>
          <w:rFonts w:asciiTheme="minorHAnsi" w:hAnsiTheme="minorHAnsi"/>
          <w:sz w:val="22"/>
          <w:szCs w:val="22"/>
        </w:rPr>
        <w:t>PRJNA683704</w:t>
      </w:r>
      <w:r>
        <w:rPr>
          <w:rFonts w:asciiTheme="minorHAnsi" w:hAnsiTheme="minorHAnsi"/>
          <w:sz w:val="22"/>
          <w:szCs w:val="22"/>
        </w:rPr>
        <w:t>.</w:t>
      </w:r>
      <w:r w:rsidR="00354B75">
        <w:rPr>
          <w:rFonts w:asciiTheme="minorHAnsi" w:hAnsiTheme="minorHAnsi"/>
          <w:sz w:val="22"/>
          <w:szCs w:val="22"/>
        </w:rPr>
        <w:t xml:space="preserve"> (embargo till the date of publication of the study).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3C2F65F" w:rsidR="00B124CC" w:rsidRPr="00354B75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AFCA4F" w14:textId="77413F7E" w:rsidR="00271485" w:rsidRPr="00271485" w:rsidRDefault="00271485" w:rsidP="002714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1485">
        <w:rPr>
          <w:rFonts w:asciiTheme="minorHAnsi" w:hAnsiTheme="minorHAnsi"/>
          <w:sz w:val="22"/>
          <w:szCs w:val="22"/>
        </w:rPr>
        <w:t xml:space="preserve">Description and justification for statistical analysis methods </w:t>
      </w:r>
      <w:r w:rsidR="00A7780E">
        <w:rPr>
          <w:rFonts w:asciiTheme="minorHAnsi" w:hAnsiTheme="minorHAnsi"/>
          <w:sz w:val="22"/>
          <w:szCs w:val="22"/>
        </w:rPr>
        <w:t>have</w:t>
      </w:r>
      <w:r>
        <w:rPr>
          <w:rFonts w:asciiTheme="minorHAnsi" w:hAnsiTheme="minorHAnsi"/>
          <w:sz w:val="22"/>
          <w:szCs w:val="22"/>
        </w:rPr>
        <w:t xml:space="preserve"> been described in the materials and methods and supplementary methods. Information is also provided in the figure legends with exact p-values.</w:t>
      </w:r>
    </w:p>
    <w:p w14:paraId="77F11B27" w14:textId="692F5BB4" w:rsidR="00271485" w:rsidRPr="00271485" w:rsidRDefault="00271485" w:rsidP="002714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1485">
        <w:rPr>
          <w:rFonts w:asciiTheme="minorHAnsi" w:hAnsiTheme="minorHAnsi"/>
          <w:sz w:val="22"/>
          <w:szCs w:val="22"/>
        </w:rPr>
        <w:t>We utilized violin plots and/or presented</w:t>
      </w:r>
      <w:r w:rsidR="00D86DF5">
        <w:rPr>
          <w:rFonts w:asciiTheme="minorHAnsi" w:hAnsiTheme="minorHAnsi"/>
          <w:sz w:val="22"/>
          <w:szCs w:val="22"/>
        </w:rPr>
        <w:t xml:space="preserve"> the</w:t>
      </w:r>
      <w:r w:rsidRPr="00271485">
        <w:rPr>
          <w:rFonts w:asciiTheme="minorHAnsi" w:hAnsiTheme="minorHAnsi"/>
          <w:sz w:val="22"/>
          <w:szCs w:val="22"/>
        </w:rPr>
        <w:t xml:space="preserve"> data points shown to maximize </w:t>
      </w:r>
      <w:r w:rsidR="00A7780E">
        <w:rPr>
          <w:rFonts w:asciiTheme="minorHAnsi" w:hAnsiTheme="minorHAnsi"/>
          <w:sz w:val="22"/>
          <w:szCs w:val="22"/>
        </w:rPr>
        <w:t xml:space="preserve">the </w:t>
      </w:r>
      <w:r w:rsidRPr="00271485">
        <w:rPr>
          <w:rFonts w:asciiTheme="minorHAnsi" w:hAnsiTheme="minorHAnsi"/>
          <w:sz w:val="22"/>
          <w:szCs w:val="22"/>
        </w:rPr>
        <w:t>visualization of data and its distributions.</w:t>
      </w:r>
    </w:p>
    <w:p w14:paraId="614D6089" w14:textId="0991286D" w:rsidR="0015519A" w:rsidRPr="00505C51" w:rsidRDefault="00271485" w:rsidP="002714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1485">
        <w:rPr>
          <w:rFonts w:asciiTheme="minorHAnsi" w:hAnsiTheme="minorHAnsi"/>
          <w:sz w:val="22"/>
          <w:szCs w:val="22"/>
        </w:rPr>
        <w:t>•Exact values of 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1485">
        <w:rPr>
          <w:rFonts w:asciiTheme="minorHAnsi" w:hAnsiTheme="minorHAnsi"/>
          <w:sz w:val="22"/>
          <w:szCs w:val="22"/>
        </w:rPr>
        <w:t>and statistical tests utilized can be found in the figure legends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D86DF5">
        <w:rPr>
          <w:rFonts w:asciiTheme="minorHAnsi" w:hAnsiTheme="minorHAnsi"/>
          <w:sz w:val="22"/>
          <w:szCs w:val="22"/>
        </w:rPr>
        <w:t>results section</w:t>
      </w:r>
      <w:r>
        <w:rPr>
          <w:rFonts w:asciiTheme="minorHAnsi" w:hAnsiTheme="minorHAnsi"/>
          <w:sz w:val="22"/>
          <w:szCs w:val="22"/>
        </w:rPr>
        <w:t>.</w:t>
      </w:r>
      <w:r w:rsidRPr="00271485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D54208" w:rsidR="00BC3CCE" w:rsidRPr="00505C51" w:rsidRDefault="002714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1485">
        <w:rPr>
          <w:rFonts w:asciiTheme="minorHAnsi" w:hAnsiTheme="minorHAnsi"/>
          <w:sz w:val="22"/>
          <w:szCs w:val="22"/>
        </w:rPr>
        <w:t xml:space="preserve">The group allocation for all experiments is described in Materials and </w:t>
      </w:r>
      <w:r w:rsidR="00A7780E">
        <w:rPr>
          <w:rFonts w:asciiTheme="minorHAnsi" w:hAnsiTheme="minorHAnsi"/>
          <w:sz w:val="22"/>
          <w:szCs w:val="22"/>
        </w:rPr>
        <w:t>m</w:t>
      </w:r>
      <w:r w:rsidRPr="00271485">
        <w:rPr>
          <w:rFonts w:asciiTheme="minorHAnsi" w:hAnsiTheme="minorHAnsi"/>
          <w:sz w:val="22"/>
          <w:szCs w:val="22"/>
        </w:rPr>
        <w:t xml:space="preserve">ethods </w:t>
      </w:r>
      <w:r w:rsidR="00A7780E">
        <w:rPr>
          <w:rFonts w:asciiTheme="minorHAnsi" w:hAnsiTheme="minorHAnsi"/>
          <w:sz w:val="22"/>
          <w:szCs w:val="22"/>
        </w:rPr>
        <w:t>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721F802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Figure 3- Source Data 1: </w:t>
      </w:r>
    </w:p>
    <w:p w14:paraId="5D342A1C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 xml:space="preserve">Numeric data for the relative expression of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sz w:val="22"/>
          <w:szCs w:val="22"/>
        </w:rPr>
        <w:t xml:space="preserve"> transcript in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 and homozygous mutant larvae,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-/-</w:t>
      </w:r>
      <w:r w:rsidRPr="001714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4055A8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b/>
          <w:sz w:val="22"/>
          <w:szCs w:val="22"/>
        </w:rPr>
        <w:t xml:space="preserve">Figure 4 - Source Data 1: </w:t>
      </w:r>
    </w:p>
    <w:p w14:paraId="0022CD93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>A</w:t>
      </w:r>
      <w:r w:rsidRPr="001714DE">
        <w:rPr>
          <w:rFonts w:asciiTheme="minorHAnsi" w:hAnsiTheme="minorHAnsi" w:cstheme="minorHAnsi"/>
          <w:b/>
          <w:sz w:val="22"/>
          <w:szCs w:val="22"/>
        </w:rPr>
        <w:t>.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14DE">
        <w:rPr>
          <w:rFonts w:asciiTheme="minorHAnsi" w:hAnsiTheme="minorHAnsi" w:cstheme="minorHAnsi"/>
          <w:sz w:val="22"/>
          <w:szCs w:val="22"/>
        </w:rPr>
        <w:t xml:space="preserve">Data for the survival percentage of </w:t>
      </w:r>
      <w:proofErr w:type="spellStart"/>
      <w:r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sz w:val="22"/>
          <w:szCs w:val="22"/>
        </w:rPr>
        <w:t xml:space="preserve">, </w:t>
      </w:r>
      <w:r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GBT0235/+</w:t>
      </w:r>
      <w:r w:rsidRPr="001714DE">
        <w:rPr>
          <w:rFonts w:asciiTheme="minorHAnsi" w:hAnsiTheme="minorHAnsi" w:cstheme="minorHAnsi"/>
          <w:sz w:val="22"/>
          <w:szCs w:val="22"/>
        </w:rPr>
        <w:t xml:space="preserve"> and </w:t>
      </w:r>
      <w:r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sz w:val="22"/>
          <w:szCs w:val="22"/>
        </w:rPr>
        <w:t>.</w:t>
      </w:r>
    </w:p>
    <w:p w14:paraId="52353513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 xml:space="preserve">B. Numeric data for the relative expression of mitochondrial encoded transcripts in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 and homozygous mutant larvae,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5E420E57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sz w:val="22"/>
          <w:szCs w:val="22"/>
        </w:rPr>
        <w:t xml:space="preserve">C. Data for lactate measurements in </w:t>
      </w:r>
      <w:proofErr w:type="spellStart"/>
      <w:r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sz w:val="22"/>
          <w:szCs w:val="22"/>
        </w:rPr>
        <w:t xml:space="preserve"> and </w:t>
      </w:r>
      <w:r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sz w:val="22"/>
          <w:szCs w:val="22"/>
        </w:rPr>
        <w:t>.</w:t>
      </w:r>
    </w:p>
    <w:p w14:paraId="272D122C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b/>
          <w:sz w:val="22"/>
          <w:szCs w:val="22"/>
        </w:rPr>
        <w:t xml:space="preserve">Figure 5- Source Data 1: </w:t>
      </w:r>
    </w:p>
    <w:p w14:paraId="071EF16A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 xml:space="preserve">A. Numeric data for the birefringence measurements in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 and homozygous mutant larvae,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20114D" w14:textId="7A2FC31C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 xml:space="preserve">Figure supplement 1: Numeric data for the birefringence measurements in 4 </w:t>
      </w:r>
      <w:proofErr w:type="spellStart"/>
      <w:r w:rsidRPr="001714DE">
        <w:rPr>
          <w:rFonts w:asciiTheme="minorHAnsi" w:hAnsiTheme="minorHAnsi" w:cstheme="minorHAnsi"/>
          <w:bCs/>
          <w:sz w:val="22"/>
          <w:szCs w:val="22"/>
        </w:rPr>
        <w:t>dpf</w:t>
      </w:r>
      <w:proofErr w:type="spellEnd"/>
      <w:r w:rsidRPr="001714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, homozygous mutant larvae,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1714DE">
        <w:rPr>
          <w:rFonts w:asciiTheme="minorHAnsi" w:hAnsiTheme="minorHAnsi" w:cstheme="minorHAnsi"/>
          <w:bCs/>
          <w:sz w:val="22"/>
          <w:szCs w:val="22"/>
        </w:rPr>
        <w:t>and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714DE">
        <w:rPr>
          <w:rFonts w:asciiTheme="minorHAnsi" w:hAnsiTheme="minorHAnsi" w:cstheme="minorHAnsi"/>
          <w:bCs/>
          <w:sz w:val="22"/>
          <w:szCs w:val="22"/>
        </w:rPr>
        <w:t>liver-specific rescued larvae,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 Tg(fabp10:Cre)lrpprc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GBT0235/GBT023</w:t>
      </w:r>
      <w:r w:rsidR="00A6014B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5</w:t>
      </w:r>
      <w:r w:rsidRPr="001714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7A7CDABE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b/>
          <w:sz w:val="22"/>
          <w:szCs w:val="22"/>
        </w:rPr>
        <w:t xml:space="preserve">Figure 7- Source Data 1: </w:t>
      </w:r>
    </w:p>
    <w:p w14:paraId="22E09739" w14:textId="0BB64339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noProof/>
          <w:sz w:val="22"/>
          <w:szCs w:val="22"/>
        </w:rPr>
      </w:pPr>
      <w:r w:rsidRPr="001714DE">
        <w:rPr>
          <w:rFonts w:asciiTheme="minorHAnsi" w:hAnsiTheme="minorHAnsi" w:cstheme="minorHAnsi"/>
          <w:bCs/>
          <w:sz w:val="22"/>
          <w:szCs w:val="22"/>
        </w:rPr>
        <w:t xml:space="preserve">D. Numeric data for the oil red area in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="00A6014B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 xml:space="preserve"> </w:t>
      </w:r>
      <w:r w:rsidR="00A6014B" w:rsidRPr="00A6014B">
        <w:rPr>
          <w:rFonts w:asciiTheme="minorHAnsi" w:hAnsiTheme="minorHAnsi" w:cstheme="minorHAnsi"/>
          <w:bCs/>
          <w:i/>
          <w:iCs/>
          <w:sz w:val="22"/>
          <w:szCs w:val="22"/>
        </w:rPr>
        <w:t>and</w:t>
      </w:r>
      <w:r w:rsidR="00A6014B" w:rsidRPr="00A601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014B"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>Tg(fabp10:Cre)lrpprc</w:t>
      </w:r>
      <w:r w:rsidR="00A6014B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, homozygous mutant larvae,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 xml:space="preserve">GBT0235/GBT0235, 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and liver-specific rescued </w:t>
      </w:r>
      <w:r w:rsidR="00A6014B">
        <w:rPr>
          <w:rFonts w:asciiTheme="minorHAnsi" w:hAnsiTheme="minorHAnsi" w:cstheme="minorHAnsi"/>
          <w:bCs/>
          <w:sz w:val="22"/>
          <w:szCs w:val="22"/>
        </w:rPr>
        <w:t xml:space="preserve">homozygous mutant </w:t>
      </w:r>
      <w:r w:rsidRPr="001714DE">
        <w:rPr>
          <w:rFonts w:asciiTheme="minorHAnsi" w:hAnsiTheme="minorHAnsi" w:cstheme="minorHAnsi"/>
          <w:bCs/>
          <w:sz w:val="22"/>
          <w:szCs w:val="22"/>
        </w:rPr>
        <w:t>larvae,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 Tg(fabp10:Cre)lrpprc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GBT0235/GBT02</w:t>
      </w:r>
      <w:r w:rsidR="00A6014B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35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>.</w:t>
      </w:r>
    </w:p>
    <w:p w14:paraId="1D162446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noProof/>
          <w:sz w:val="22"/>
          <w:szCs w:val="22"/>
        </w:rPr>
      </w:pPr>
      <w:r w:rsidRPr="001714DE">
        <w:rPr>
          <w:rFonts w:asciiTheme="minorHAnsi" w:hAnsiTheme="minorHAnsi" w:cstheme="minorHAnsi"/>
          <w:bCs/>
          <w:noProof/>
          <w:sz w:val="22"/>
          <w:szCs w:val="22"/>
        </w:rPr>
        <w:t xml:space="preserve">E. </w:t>
      </w:r>
      <w:r w:rsidRPr="001714DE">
        <w:rPr>
          <w:rFonts w:asciiTheme="minorHAnsi" w:hAnsiTheme="minorHAnsi" w:cstheme="minorHAnsi"/>
          <w:sz w:val="22"/>
          <w:szCs w:val="22"/>
        </w:rPr>
        <w:t xml:space="preserve">Data for the survival percentage of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 xml:space="preserve">GBT0235/GBT0235 </w:t>
      </w:r>
      <w:r w:rsidRPr="001714DE">
        <w:rPr>
          <w:rFonts w:asciiTheme="minorHAnsi" w:hAnsiTheme="minorHAnsi" w:cstheme="minorHAnsi"/>
          <w:bCs/>
          <w:sz w:val="22"/>
          <w:szCs w:val="22"/>
        </w:rPr>
        <w:t>and larvae,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 Tg(fabp10:Cre)lrpprc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>.</w:t>
      </w:r>
    </w:p>
    <w:p w14:paraId="728C3D97" w14:textId="77777777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714DE">
        <w:rPr>
          <w:rFonts w:asciiTheme="minorHAnsi" w:hAnsiTheme="minorHAnsi" w:cstheme="minorHAnsi"/>
          <w:b/>
          <w:sz w:val="22"/>
          <w:szCs w:val="22"/>
        </w:rPr>
        <w:t xml:space="preserve">Figure 8- Source Data 1: </w:t>
      </w:r>
    </w:p>
    <w:p w14:paraId="346ABF2C" w14:textId="07DA11DB" w:rsidR="00A7780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i/>
          <w:iCs/>
          <w:noProof/>
          <w:sz w:val="22"/>
          <w:szCs w:val="22"/>
        </w:rPr>
      </w:pPr>
      <w:r w:rsidRPr="001714DE">
        <w:rPr>
          <w:rFonts w:asciiTheme="minorHAnsi" w:eastAsia="Times New Roman" w:hAnsiTheme="minorHAnsi" w:cstheme="minorHAnsi"/>
          <w:sz w:val="22"/>
          <w:szCs w:val="22"/>
        </w:rPr>
        <w:t xml:space="preserve">Data for the peak areas per larval equivalent and normalized to the </w:t>
      </w:r>
      <w:proofErr w:type="spellStart"/>
      <w:r w:rsidRPr="001714DE">
        <w:rPr>
          <w:rFonts w:asciiTheme="minorHAnsi" w:eastAsia="Times New Roman" w:hAnsiTheme="minorHAnsi" w:cstheme="minorHAnsi"/>
          <w:sz w:val="22"/>
          <w:szCs w:val="22"/>
        </w:rPr>
        <w:t>TopFluor</w:t>
      </w:r>
      <w:proofErr w:type="spellEnd"/>
      <w:r w:rsidRPr="001714DE">
        <w:rPr>
          <w:rFonts w:asciiTheme="minorHAnsi" w:eastAsia="Times New Roman" w:hAnsiTheme="minorHAnsi" w:cstheme="minorHAnsi"/>
          <w:sz w:val="22"/>
          <w:szCs w:val="22"/>
        </w:rPr>
        <w:t xml:space="preserve"> cholesterol peak across </w:t>
      </w:r>
      <w:proofErr w:type="spellStart"/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proofErr w:type="spellEnd"/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+/+</w:t>
      </w:r>
      <w:r w:rsidRPr="001714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</w:rPr>
        <w:t>lrpprc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GBT0235/GBT0235</w:t>
      </w:r>
      <w:r w:rsidR="003109C5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,</w:t>
      </w:r>
      <w:r w:rsidRPr="001714D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 xml:space="preserve"> </w:t>
      </w:r>
      <w:r w:rsidRPr="001714DE">
        <w:rPr>
          <w:rFonts w:asciiTheme="minorHAnsi" w:hAnsiTheme="minorHAnsi" w:cstheme="minorHAnsi"/>
          <w:bCs/>
          <w:sz w:val="22"/>
          <w:szCs w:val="22"/>
        </w:rPr>
        <w:t>and larvae,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 Tg(fabp10:Cre)lrpprc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  <w:vertAlign w:val="superscript"/>
        </w:rPr>
        <w:t>GBT0235/GBT0235</w:t>
      </w:r>
      <w:r w:rsidRPr="001714DE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>.</w:t>
      </w:r>
    </w:p>
    <w:p w14:paraId="5975DEEE" w14:textId="7222D302" w:rsidR="00B2732A" w:rsidRDefault="00B2732A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noProof/>
          <w:sz w:val="22"/>
          <w:szCs w:val="22"/>
        </w:rPr>
      </w:pPr>
      <w:r w:rsidRPr="00B2732A">
        <w:rPr>
          <w:rFonts w:asciiTheme="minorHAnsi" w:hAnsiTheme="minorHAnsi" w:cstheme="minorHAnsi"/>
          <w:bCs/>
          <w:noProof/>
          <w:sz w:val="22"/>
          <w:szCs w:val="22"/>
        </w:rPr>
        <w:t>Supplementary file 1. Supplementary tables.(A) List of oligonucleotides used in the study. (B) Prediction of Human LRPPRC binding sites within the human mitochondrial genome (NC_012920.1). The top twenty matches among both strands of the complete mitochondria</w:t>
      </w:r>
      <w:r w:rsidR="004F6B24">
        <w:rPr>
          <w:rFonts w:asciiTheme="minorHAnsi" w:hAnsiTheme="minorHAnsi" w:cstheme="minorHAnsi"/>
          <w:bCs/>
          <w:noProof/>
          <w:sz w:val="22"/>
          <w:szCs w:val="22"/>
        </w:rPr>
        <w:t>l</w:t>
      </w:r>
      <w:r w:rsidRPr="00B2732A">
        <w:rPr>
          <w:rFonts w:asciiTheme="minorHAnsi" w:hAnsiTheme="minorHAnsi" w:cstheme="minorHAnsi"/>
          <w:bCs/>
          <w:noProof/>
          <w:sz w:val="22"/>
          <w:szCs w:val="22"/>
        </w:rPr>
        <w:t xml:space="preserve"> genome are shown. The p-values were calculated with the FIMO program and were used for ranking. (C) Prediction of zebrafish Lrpprc binding sites within the zebrafish mitochondrial genome (NC_002333.2). The top twenty matches among both strands of the complete mitochondria</w:t>
      </w:r>
      <w:r w:rsidR="004F6B24">
        <w:rPr>
          <w:rFonts w:asciiTheme="minorHAnsi" w:hAnsiTheme="minorHAnsi" w:cstheme="minorHAnsi"/>
          <w:bCs/>
          <w:noProof/>
          <w:sz w:val="22"/>
          <w:szCs w:val="22"/>
        </w:rPr>
        <w:t>l</w:t>
      </w:r>
      <w:r w:rsidRPr="00B2732A">
        <w:rPr>
          <w:rFonts w:asciiTheme="minorHAnsi" w:hAnsiTheme="minorHAnsi" w:cstheme="minorHAnsi"/>
          <w:bCs/>
          <w:noProof/>
          <w:sz w:val="22"/>
          <w:szCs w:val="22"/>
        </w:rPr>
        <w:t xml:space="preserve"> genome are shown. The p-values were calculated with the FIMO program and were used for ranking.</w:t>
      </w:r>
    </w:p>
    <w:p w14:paraId="059B0652" w14:textId="23323DB4" w:rsidR="001714DE" w:rsidRPr="001714DE" w:rsidRDefault="00A7780E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1714DE">
        <w:rPr>
          <w:rFonts w:asciiTheme="minorHAnsi" w:hAnsiTheme="minorHAnsi" w:cstheme="minorHAnsi"/>
          <w:bCs/>
          <w:noProof/>
          <w:sz w:val="22"/>
          <w:szCs w:val="22"/>
        </w:rPr>
        <w:t xml:space="preserve">Supplementary file </w:t>
      </w:r>
      <w:r w:rsidR="00B2732A">
        <w:rPr>
          <w:rFonts w:asciiTheme="minorHAnsi" w:hAnsiTheme="minorHAnsi" w:cstheme="minorHAnsi"/>
          <w:bCs/>
          <w:noProof/>
          <w:sz w:val="22"/>
          <w:szCs w:val="22"/>
        </w:rPr>
        <w:t>2</w:t>
      </w:r>
      <w:r w:rsidRPr="001714DE">
        <w:rPr>
          <w:rFonts w:asciiTheme="minorHAnsi" w:hAnsiTheme="minorHAnsi" w:cstheme="minorHAnsi"/>
          <w:bCs/>
          <w:noProof/>
          <w:sz w:val="22"/>
          <w:szCs w:val="22"/>
        </w:rPr>
        <w:t>:</w:t>
      </w:r>
      <w:r w:rsidRPr="001714DE">
        <w:rPr>
          <w:rFonts w:asciiTheme="minorHAnsi" w:hAnsiTheme="minorHAnsi" w:cstheme="minorHAnsi"/>
          <w:sz w:val="22"/>
          <w:szCs w:val="22"/>
        </w:rPr>
        <w:t xml:space="preserve"> </w:t>
      </w:r>
      <w:r w:rsidR="00A6014B">
        <w:rPr>
          <w:rFonts w:asciiTheme="minorHAnsi" w:hAnsiTheme="minorHAnsi" w:cstheme="minorHAnsi"/>
          <w:sz w:val="22"/>
          <w:szCs w:val="22"/>
        </w:rPr>
        <w:t>Gene set enrichment analysis</w:t>
      </w:r>
      <w:r w:rsidR="001714DE" w:rsidRPr="001714DE">
        <w:rPr>
          <w:rFonts w:asciiTheme="minorHAnsi" w:hAnsiTheme="minorHAnsi" w:cstheme="minorHAnsi"/>
          <w:sz w:val="22"/>
          <w:szCs w:val="22"/>
        </w:rPr>
        <w:t xml:space="preserve"> </w:t>
      </w:r>
      <w:r w:rsidR="00A6014B">
        <w:rPr>
          <w:rFonts w:asciiTheme="minorHAnsi" w:hAnsiTheme="minorHAnsi" w:cstheme="minorHAnsi"/>
          <w:sz w:val="22"/>
          <w:szCs w:val="22"/>
        </w:rPr>
        <w:t>for</w:t>
      </w:r>
      <w:r w:rsidR="001714DE" w:rsidRPr="001714D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714DE" w:rsidRPr="001714DE">
        <w:rPr>
          <w:rFonts w:asciiTheme="minorHAnsi" w:hAnsiTheme="minorHAnsi" w:cstheme="minorHAnsi"/>
          <w:i/>
          <w:iCs/>
          <w:sz w:val="22"/>
          <w:szCs w:val="22"/>
        </w:rPr>
        <w:t>lrpprc</w:t>
      </w:r>
      <w:proofErr w:type="spellEnd"/>
      <w:r w:rsidR="001714DE" w:rsidRPr="001714DE">
        <w:rPr>
          <w:rFonts w:asciiTheme="minorHAnsi" w:hAnsiTheme="minorHAnsi" w:cstheme="minorHAnsi"/>
          <w:sz w:val="22"/>
          <w:szCs w:val="22"/>
        </w:rPr>
        <w:t xml:space="preserve"> homozygous mutants.</w:t>
      </w:r>
    </w:p>
    <w:p w14:paraId="3B6E60A6" w14:textId="4ADFC525" w:rsidR="00BC3CCE" w:rsidRPr="001714DE" w:rsidRDefault="00271485" w:rsidP="00A7780E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/>
        <w:rPr>
          <w:rFonts w:ascii="Times New Roman" w:hAnsi="Times New Roman"/>
          <w:bCs/>
          <w:i/>
          <w:iCs/>
          <w:noProof/>
          <w:sz w:val="22"/>
          <w:szCs w:val="22"/>
        </w:rPr>
      </w:pPr>
      <w:r w:rsidRPr="001714DE">
        <w:rPr>
          <w:rFonts w:asciiTheme="minorHAnsi" w:hAnsiTheme="minorHAnsi" w:cstheme="minorHAnsi"/>
          <w:sz w:val="22"/>
          <w:szCs w:val="22"/>
        </w:rPr>
        <w:t>Raw dataset for the RNA sequencing has been uploaded on NCBI SRA: ID PRJNA683704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DBEC" w14:textId="77777777" w:rsidR="00FC33A2" w:rsidRDefault="00FC33A2" w:rsidP="004215FE">
      <w:r>
        <w:separator/>
      </w:r>
    </w:p>
  </w:endnote>
  <w:endnote w:type="continuationSeparator" w:id="0">
    <w:p w14:paraId="236968DF" w14:textId="77777777" w:rsidR="00FC33A2" w:rsidRDefault="00FC33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6186" w14:textId="77777777" w:rsidR="00FC33A2" w:rsidRDefault="00FC33A2" w:rsidP="004215FE">
      <w:r>
        <w:separator/>
      </w:r>
    </w:p>
  </w:footnote>
  <w:footnote w:type="continuationSeparator" w:id="0">
    <w:p w14:paraId="3C82DE6A" w14:textId="77777777" w:rsidR="00FC33A2" w:rsidRDefault="00FC33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44421">
    <w:abstractNumId w:val="6"/>
  </w:num>
  <w:num w:numId="2" w16cid:durableId="1881092102">
    <w:abstractNumId w:val="3"/>
  </w:num>
  <w:num w:numId="3" w16cid:durableId="817838732">
    <w:abstractNumId w:val="0"/>
  </w:num>
  <w:num w:numId="4" w16cid:durableId="1994211188">
    <w:abstractNumId w:val="1"/>
  </w:num>
  <w:num w:numId="5" w16cid:durableId="862014000">
    <w:abstractNumId w:val="5"/>
  </w:num>
  <w:num w:numId="6" w16cid:durableId="408234725">
    <w:abstractNumId w:val="2"/>
  </w:num>
  <w:num w:numId="7" w16cid:durableId="1864828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4DE"/>
    <w:rsid w:val="00175192"/>
    <w:rsid w:val="001E1D59"/>
    <w:rsid w:val="00212F30"/>
    <w:rsid w:val="00217B9E"/>
    <w:rsid w:val="002336C6"/>
    <w:rsid w:val="00241081"/>
    <w:rsid w:val="00266462"/>
    <w:rsid w:val="00271485"/>
    <w:rsid w:val="002A068D"/>
    <w:rsid w:val="002A0ED1"/>
    <w:rsid w:val="002A7487"/>
    <w:rsid w:val="00307F5D"/>
    <w:rsid w:val="003109C5"/>
    <w:rsid w:val="003248ED"/>
    <w:rsid w:val="00354B7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2145"/>
    <w:rsid w:val="004B41D4"/>
    <w:rsid w:val="004D5E59"/>
    <w:rsid w:val="004D602A"/>
    <w:rsid w:val="004D73CF"/>
    <w:rsid w:val="004E4945"/>
    <w:rsid w:val="004F451D"/>
    <w:rsid w:val="004F6B24"/>
    <w:rsid w:val="00505C51"/>
    <w:rsid w:val="00506B1C"/>
    <w:rsid w:val="00516A01"/>
    <w:rsid w:val="0053000A"/>
    <w:rsid w:val="00544610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2EFC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115B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014B"/>
    <w:rsid w:val="00A62B52"/>
    <w:rsid w:val="00A7780E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32A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66CE6"/>
    <w:rsid w:val="00C820B0"/>
    <w:rsid w:val="00CC6EF3"/>
    <w:rsid w:val="00CD6AEC"/>
    <w:rsid w:val="00CE6849"/>
    <w:rsid w:val="00CF4BBE"/>
    <w:rsid w:val="00CF6CB5"/>
    <w:rsid w:val="00D10224"/>
    <w:rsid w:val="00D44612"/>
    <w:rsid w:val="00D44EE3"/>
    <w:rsid w:val="00D50299"/>
    <w:rsid w:val="00D74320"/>
    <w:rsid w:val="00D7796A"/>
    <w:rsid w:val="00D779BF"/>
    <w:rsid w:val="00D83D45"/>
    <w:rsid w:val="00D86DF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0DEF"/>
    <w:rsid w:val="00F60CF4"/>
    <w:rsid w:val="00FC1F40"/>
    <w:rsid w:val="00FC33A2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53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9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Sabharwal, Ankit, Ph.D.</cp:lastModifiedBy>
  <cp:revision>8</cp:revision>
  <dcterms:created xsi:type="dcterms:W3CDTF">2022-07-20T17:22:00Z</dcterms:created>
  <dcterms:modified xsi:type="dcterms:W3CDTF">2023-01-04T22:36:00Z</dcterms:modified>
</cp:coreProperties>
</file>