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26D43307" w:rsidR="00877644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35B657CE" w14:textId="77777777" w:rsidR="0007026A" w:rsidRPr="00A62B52" w:rsidRDefault="0007026A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00DA4D50" w14:textId="4520BDE1" w:rsidR="00284F8D" w:rsidRPr="00C2058E" w:rsidRDefault="00B87240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2"/>
          <w:szCs w:val="22"/>
        </w:rPr>
      </w:pPr>
      <w:r w:rsidRPr="00C2058E">
        <w:rPr>
          <w:rFonts w:ascii="Arial" w:hAnsi="Arial" w:cs="Arial"/>
          <w:sz w:val="22"/>
          <w:szCs w:val="22"/>
        </w:rPr>
        <w:t xml:space="preserve">General </w:t>
      </w:r>
      <w:r w:rsidR="00CC49D0" w:rsidRPr="00C2058E">
        <w:rPr>
          <w:rFonts w:ascii="Arial" w:hAnsi="Arial" w:cs="Arial"/>
          <w:sz w:val="22"/>
          <w:szCs w:val="22"/>
        </w:rPr>
        <w:t>s</w:t>
      </w:r>
      <w:r w:rsidR="00284F8D" w:rsidRPr="00C2058E">
        <w:rPr>
          <w:rFonts w:ascii="Arial" w:hAnsi="Arial" w:cs="Arial"/>
          <w:sz w:val="22"/>
          <w:szCs w:val="22"/>
        </w:rPr>
        <w:t xml:space="preserve">ample-size estimates were based on use of G*Power </w:t>
      </w:r>
      <w:r w:rsidR="000A326C" w:rsidRPr="00C2058E">
        <w:rPr>
          <w:rFonts w:ascii="Arial" w:hAnsi="Arial" w:cs="Arial"/>
          <w:sz w:val="22"/>
          <w:szCs w:val="22"/>
        </w:rPr>
        <w:t xml:space="preserve">software </w:t>
      </w:r>
      <w:r w:rsidR="00284F8D" w:rsidRPr="00C2058E">
        <w:rPr>
          <w:rFonts w:ascii="Arial" w:hAnsi="Arial" w:cs="Arial"/>
          <w:sz w:val="22"/>
          <w:szCs w:val="22"/>
        </w:rPr>
        <w:t>(</w:t>
      </w:r>
      <w:hyperlink r:id="rId11" w:history="1">
        <w:r w:rsidR="00657AB2" w:rsidRPr="00C2058E">
          <w:rPr>
            <w:rStyle w:val="Hyperlink"/>
            <w:rFonts w:ascii="Arial" w:hAnsi="Arial" w:cs="Arial"/>
            <w:sz w:val="22"/>
            <w:szCs w:val="22"/>
          </w:rPr>
          <w:t>https://www.psychologie.hhu.de/arbeitsgruppen/allgemeine-psychologie-und-arbeitspsychologie/gpower.html</w:t>
        </w:r>
      </w:hyperlink>
      <w:r w:rsidR="00284F8D" w:rsidRPr="00C2058E">
        <w:rPr>
          <w:rFonts w:ascii="Arial" w:hAnsi="Arial" w:cs="Arial"/>
          <w:sz w:val="22"/>
          <w:szCs w:val="22"/>
        </w:rPr>
        <w:t xml:space="preserve"> </w:t>
      </w:r>
      <w:r w:rsidR="000A326C" w:rsidRPr="00C2058E">
        <w:rPr>
          <w:rFonts w:ascii="Arial" w:hAnsi="Arial" w:cs="Arial"/>
          <w:sz w:val="22"/>
          <w:szCs w:val="22"/>
        </w:rPr>
        <w:t>)</w:t>
      </w:r>
      <w:r w:rsidRPr="00C2058E">
        <w:rPr>
          <w:rFonts w:ascii="Arial" w:hAnsi="Arial" w:cs="Arial"/>
          <w:sz w:val="22"/>
          <w:szCs w:val="22"/>
        </w:rPr>
        <w:t xml:space="preserve"> ahead of conducting experiments</w:t>
      </w:r>
      <w:r w:rsidR="00A23E5C" w:rsidRPr="00C2058E">
        <w:rPr>
          <w:rFonts w:ascii="Arial" w:hAnsi="Arial" w:cs="Arial"/>
          <w:sz w:val="22"/>
          <w:szCs w:val="22"/>
        </w:rPr>
        <w:t>. The general assumptions</w:t>
      </w:r>
      <w:r w:rsidRPr="00C2058E">
        <w:rPr>
          <w:rFonts w:ascii="Arial" w:hAnsi="Arial" w:cs="Arial"/>
          <w:sz w:val="22"/>
          <w:szCs w:val="22"/>
        </w:rPr>
        <w:t xml:space="preserve">, based on previous studies, </w:t>
      </w:r>
      <w:r w:rsidR="00A23E5C" w:rsidRPr="00C2058E">
        <w:rPr>
          <w:rFonts w:ascii="Arial" w:hAnsi="Arial" w:cs="Arial"/>
          <w:sz w:val="22"/>
          <w:szCs w:val="22"/>
        </w:rPr>
        <w:t xml:space="preserve">were </w:t>
      </w:r>
      <w:r w:rsidR="000A326C" w:rsidRPr="00C2058E">
        <w:rPr>
          <w:rFonts w:ascii="Arial" w:hAnsi="Arial" w:cs="Arial"/>
          <w:sz w:val="22"/>
          <w:szCs w:val="22"/>
        </w:rPr>
        <w:t xml:space="preserve">that mean values </w:t>
      </w:r>
      <w:r w:rsidR="00CC49D0" w:rsidRPr="00C2058E">
        <w:rPr>
          <w:rFonts w:ascii="Arial" w:hAnsi="Arial" w:cs="Arial"/>
          <w:sz w:val="22"/>
          <w:szCs w:val="22"/>
        </w:rPr>
        <w:t xml:space="preserve">would differ </w:t>
      </w:r>
      <w:r w:rsidR="000A326C" w:rsidRPr="00C2058E">
        <w:rPr>
          <w:rFonts w:ascii="Arial" w:hAnsi="Arial" w:cs="Arial"/>
          <w:sz w:val="22"/>
          <w:szCs w:val="22"/>
        </w:rPr>
        <w:t xml:space="preserve">by 2-fold and SD </w:t>
      </w:r>
      <w:r w:rsidR="00A23E5C" w:rsidRPr="00C2058E">
        <w:rPr>
          <w:rFonts w:ascii="Arial" w:hAnsi="Arial" w:cs="Arial"/>
          <w:sz w:val="22"/>
          <w:szCs w:val="22"/>
        </w:rPr>
        <w:t xml:space="preserve">would be </w:t>
      </w:r>
      <w:r w:rsidRPr="00C2058E">
        <w:rPr>
          <w:rFonts w:ascii="Arial" w:hAnsi="Arial" w:cs="Arial"/>
          <w:sz w:val="22"/>
          <w:szCs w:val="22"/>
        </w:rPr>
        <w:t>40</w:t>
      </w:r>
      <w:r w:rsidR="000A326C" w:rsidRPr="00C2058E">
        <w:rPr>
          <w:rFonts w:ascii="Arial" w:hAnsi="Arial" w:cs="Arial"/>
          <w:sz w:val="22"/>
          <w:szCs w:val="22"/>
        </w:rPr>
        <w:t>% of the mean. For a 2-tailed t-test, involving means of two independent groups, this gives an effect size, d, of 1.</w:t>
      </w:r>
      <w:r w:rsidRPr="00C2058E">
        <w:rPr>
          <w:rFonts w:ascii="Arial" w:hAnsi="Arial" w:cs="Arial"/>
          <w:sz w:val="22"/>
          <w:szCs w:val="22"/>
        </w:rPr>
        <w:t>58</w:t>
      </w:r>
      <w:r w:rsidR="000A326C" w:rsidRPr="00C2058E">
        <w:rPr>
          <w:rFonts w:ascii="Arial" w:hAnsi="Arial" w:cs="Arial"/>
          <w:sz w:val="22"/>
          <w:szCs w:val="22"/>
        </w:rPr>
        <w:t xml:space="preserve"> and G*Power calculated a requirement of n=1</w:t>
      </w:r>
      <w:r w:rsidRPr="00C2058E">
        <w:rPr>
          <w:rFonts w:ascii="Arial" w:hAnsi="Arial" w:cs="Arial"/>
          <w:sz w:val="22"/>
          <w:szCs w:val="22"/>
        </w:rPr>
        <w:t>2</w:t>
      </w:r>
      <w:r w:rsidR="000A326C" w:rsidRPr="00C2058E">
        <w:rPr>
          <w:rFonts w:ascii="Arial" w:hAnsi="Arial" w:cs="Arial"/>
          <w:sz w:val="22"/>
          <w:szCs w:val="22"/>
        </w:rPr>
        <w:t xml:space="preserve">.  </w:t>
      </w:r>
      <w:r w:rsidR="00CC49D0" w:rsidRPr="00C2058E">
        <w:rPr>
          <w:rFonts w:ascii="Arial" w:hAnsi="Arial" w:cs="Arial"/>
          <w:sz w:val="22"/>
          <w:szCs w:val="22"/>
        </w:rPr>
        <w:t>These assumptions were</w:t>
      </w:r>
      <w:r w:rsidR="00246325" w:rsidRPr="00C2058E">
        <w:rPr>
          <w:rFonts w:ascii="Arial" w:hAnsi="Arial" w:cs="Arial"/>
          <w:sz w:val="22"/>
          <w:szCs w:val="22"/>
        </w:rPr>
        <w:t xml:space="preserve"> used as initial guidelines</w:t>
      </w:r>
      <w:r w:rsidR="00D916C2" w:rsidRPr="00C2058E">
        <w:rPr>
          <w:rFonts w:ascii="Arial" w:hAnsi="Arial" w:cs="Arial"/>
          <w:sz w:val="22"/>
          <w:szCs w:val="22"/>
        </w:rPr>
        <w:t xml:space="preserve"> but </w:t>
      </w:r>
      <w:r w:rsidR="00CC49D0" w:rsidRPr="00C2058E">
        <w:rPr>
          <w:rFonts w:ascii="Arial" w:hAnsi="Arial" w:cs="Arial"/>
          <w:sz w:val="22"/>
          <w:szCs w:val="22"/>
        </w:rPr>
        <w:t xml:space="preserve">modified based on the specific </w:t>
      </w:r>
      <w:r w:rsidR="00D916C2" w:rsidRPr="00C2058E">
        <w:rPr>
          <w:rFonts w:ascii="Arial" w:hAnsi="Arial" w:cs="Arial"/>
          <w:sz w:val="22"/>
          <w:szCs w:val="22"/>
        </w:rPr>
        <w:t xml:space="preserve">experiments used </w:t>
      </w:r>
      <w:r w:rsidR="00CC49D0" w:rsidRPr="00C2058E">
        <w:rPr>
          <w:rFonts w:ascii="Arial" w:hAnsi="Arial" w:cs="Arial"/>
          <w:sz w:val="22"/>
          <w:szCs w:val="22"/>
        </w:rPr>
        <w:t xml:space="preserve">and preliminary data.  </w:t>
      </w:r>
      <w:r w:rsidR="00A23E5C" w:rsidRPr="00C2058E">
        <w:rPr>
          <w:rFonts w:ascii="Arial" w:hAnsi="Arial" w:cs="Arial"/>
          <w:sz w:val="22"/>
          <w:szCs w:val="22"/>
        </w:rPr>
        <w:t xml:space="preserve">Reference to use of G*Power is </w:t>
      </w:r>
      <w:r w:rsidR="00D916C2" w:rsidRPr="00C2058E">
        <w:rPr>
          <w:rFonts w:ascii="Arial" w:hAnsi="Arial" w:cs="Arial"/>
          <w:sz w:val="22"/>
          <w:szCs w:val="22"/>
        </w:rPr>
        <w:t xml:space="preserve">now </w:t>
      </w:r>
      <w:r w:rsidR="00A23E5C" w:rsidRPr="00C2058E">
        <w:rPr>
          <w:rFonts w:ascii="Arial" w:hAnsi="Arial" w:cs="Arial"/>
          <w:sz w:val="22"/>
          <w:szCs w:val="22"/>
        </w:rPr>
        <w:t xml:space="preserve">in </w:t>
      </w:r>
      <w:r w:rsidR="00CC49D0" w:rsidRPr="00C2058E">
        <w:rPr>
          <w:rFonts w:ascii="Arial" w:hAnsi="Arial" w:cs="Arial"/>
          <w:sz w:val="22"/>
          <w:szCs w:val="22"/>
        </w:rPr>
        <w:t>the “Statistical Analysis” section of the Materials and Methods section.</w:t>
      </w:r>
      <w:r w:rsidR="00A23E5C" w:rsidRPr="00C2058E">
        <w:rPr>
          <w:rFonts w:ascii="Arial" w:hAnsi="Arial" w:cs="Arial"/>
          <w:sz w:val="22"/>
          <w:szCs w:val="22"/>
        </w:rPr>
        <w:t xml:space="preserve"> </w:t>
      </w:r>
      <w:r w:rsidR="00CC49D0" w:rsidRPr="00C2058E">
        <w:rPr>
          <w:rFonts w:ascii="Arial" w:hAnsi="Arial" w:cs="Arial"/>
          <w:sz w:val="22"/>
          <w:szCs w:val="22"/>
        </w:rPr>
        <w:t xml:space="preserve"> 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685AC62C" w14:textId="50125F0C" w:rsidR="0007026A" w:rsidRPr="00E76838" w:rsidRDefault="00CC49D0" w:rsidP="0007026A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Times New Roman" w:eastAsia="Times New Roman" w:hAnsi="Times New Roman"/>
        </w:rPr>
      </w:pPr>
      <w:r w:rsidRPr="00C2058E">
        <w:rPr>
          <w:rFonts w:ascii="Arial" w:hAnsi="Arial" w:cs="Arial"/>
          <w:sz w:val="22"/>
          <w:szCs w:val="22"/>
        </w:rPr>
        <w:lastRenderedPageBreak/>
        <w:t>The number of experimental repeats is indicated in figure legends</w:t>
      </w:r>
      <w:r w:rsidR="00B778E4" w:rsidRPr="00C2058E">
        <w:rPr>
          <w:rFonts w:ascii="Arial" w:hAnsi="Arial" w:cs="Arial"/>
          <w:sz w:val="22"/>
          <w:szCs w:val="22"/>
        </w:rPr>
        <w:t xml:space="preserve">.  Most </w:t>
      </w:r>
      <w:r w:rsidRPr="00C2058E">
        <w:rPr>
          <w:rFonts w:ascii="Arial" w:hAnsi="Arial" w:cs="Arial"/>
          <w:sz w:val="22"/>
          <w:szCs w:val="22"/>
        </w:rPr>
        <w:t xml:space="preserve">figures show individual data points (each representing a different mouse).  Outliers </w:t>
      </w:r>
      <w:r w:rsidR="00D916C2" w:rsidRPr="00C2058E">
        <w:rPr>
          <w:rFonts w:ascii="Arial" w:hAnsi="Arial" w:cs="Arial"/>
          <w:sz w:val="22"/>
          <w:szCs w:val="22"/>
        </w:rPr>
        <w:t xml:space="preserve">were </w:t>
      </w:r>
      <w:r w:rsidRPr="00C2058E">
        <w:rPr>
          <w:rFonts w:ascii="Arial" w:hAnsi="Arial" w:cs="Arial"/>
          <w:sz w:val="22"/>
          <w:szCs w:val="22"/>
        </w:rPr>
        <w:t xml:space="preserve">not </w:t>
      </w:r>
      <w:r w:rsidR="00D916C2" w:rsidRPr="00C2058E">
        <w:rPr>
          <w:rFonts w:ascii="Arial" w:hAnsi="Arial" w:cs="Arial"/>
          <w:sz w:val="22"/>
          <w:szCs w:val="22"/>
        </w:rPr>
        <w:t>excluded</w:t>
      </w:r>
      <w:r w:rsidR="0007026A">
        <w:rPr>
          <w:rFonts w:ascii="Arial" w:hAnsi="Arial" w:cs="Arial"/>
          <w:sz w:val="22"/>
          <w:szCs w:val="22"/>
        </w:rPr>
        <w:t xml:space="preserve">.  No data was excluded, except for data from individual immunized mice in which the full dose </w:t>
      </w:r>
      <w:r w:rsidR="0007026A" w:rsidRPr="0007026A">
        <w:rPr>
          <w:rFonts w:ascii="Arial" w:hAnsi="Arial" w:cs="Arial"/>
          <w:sz w:val="22"/>
          <w:szCs w:val="22"/>
        </w:rPr>
        <w:t>could not be delivered via tail vein injection</w:t>
      </w:r>
      <w:r w:rsidR="00D916C2" w:rsidRPr="0007026A">
        <w:rPr>
          <w:rFonts w:ascii="Arial" w:hAnsi="Arial" w:cs="Arial"/>
          <w:sz w:val="22"/>
          <w:szCs w:val="22"/>
        </w:rPr>
        <w:t xml:space="preserve">. Sequencing data </w:t>
      </w:r>
      <w:r w:rsidR="0007026A" w:rsidRPr="0007026A">
        <w:rPr>
          <w:rFonts w:ascii="Arial" w:hAnsi="Arial" w:cs="Arial"/>
          <w:sz w:val="22"/>
          <w:szCs w:val="22"/>
        </w:rPr>
        <w:t xml:space="preserve">has been </w:t>
      </w:r>
      <w:r w:rsidR="00D916C2" w:rsidRPr="0007026A">
        <w:rPr>
          <w:rFonts w:ascii="Arial" w:hAnsi="Arial" w:cs="Arial"/>
          <w:sz w:val="22"/>
          <w:szCs w:val="22"/>
        </w:rPr>
        <w:t>submitted to GEO</w:t>
      </w:r>
      <w:r w:rsidR="0007026A" w:rsidRPr="0007026A">
        <w:rPr>
          <w:rFonts w:ascii="Arial" w:hAnsi="Arial" w:cs="Arial"/>
          <w:sz w:val="22"/>
          <w:szCs w:val="22"/>
        </w:rPr>
        <w:t xml:space="preserve"> (</w:t>
      </w:r>
      <w:r w:rsidR="00E76838" w:rsidRPr="00E76838">
        <w:rPr>
          <w:rFonts w:ascii="Arial" w:eastAsia="Times New Roman" w:hAnsi="Arial" w:cs="Arial"/>
          <w:color w:val="222222"/>
          <w:shd w:val="clear" w:color="auto" w:fill="FFFFFF"/>
        </w:rPr>
        <w:t>GSE171221</w:t>
      </w:r>
      <w:r w:rsidR="00E76838">
        <w:rPr>
          <w:rFonts w:ascii="Arial" w:eastAsia="Times New Roman" w:hAnsi="Arial" w:cs="Arial"/>
          <w:color w:val="222222"/>
          <w:shd w:val="clear" w:color="auto" w:fill="FFFFFF"/>
        </w:rPr>
        <w:t xml:space="preserve"> </w:t>
      </w:r>
      <w:r w:rsidR="0007026A" w:rsidRPr="0007026A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 xml:space="preserve">– access password: </w:t>
      </w:r>
      <w:proofErr w:type="spellStart"/>
      <w:r w:rsidR="00E76838" w:rsidRPr="00E76838">
        <w:rPr>
          <w:rFonts w:ascii="Arial" w:eastAsia="Times New Roman" w:hAnsi="Arial" w:cs="Arial"/>
          <w:color w:val="222222"/>
          <w:shd w:val="clear" w:color="auto" w:fill="FFFFFF"/>
        </w:rPr>
        <w:t>ebcliqkmhpkdnwb</w:t>
      </w:r>
      <w:proofErr w:type="spellEnd"/>
      <w:r w:rsidR="0007026A" w:rsidRPr="0007026A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>).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2F533F85" w:rsidR="00877644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27B8A84F" w14:textId="77777777" w:rsidR="0007026A" w:rsidRPr="00A62B52" w:rsidRDefault="0007026A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45A9AF4E" w:rsidR="0015519A" w:rsidRPr="00C2058E" w:rsidRDefault="00D916C2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2"/>
          <w:szCs w:val="22"/>
        </w:rPr>
      </w:pPr>
      <w:r w:rsidRPr="00C2058E">
        <w:rPr>
          <w:rFonts w:ascii="Arial" w:hAnsi="Arial" w:cs="Arial"/>
          <w:sz w:val="22"/>
          <w:szCs w:val="22"/>
        </w:rPr>
        <w:t xml:space="preserve">Statistical analysis methods are described in the Material and Methods section, and most figures show individual data points.  Additional details of the values involved in statistical analysis (including exact p-values) can be provided if required.  </w:t>
      </w: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21DB41D" w:rsidR="00941D04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7893BF6F" w14:textId="77777777" w:rsidR="0007026A" w:rsidRPr="00A62B52" w:rsidRDefault="0007026A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3BC66516" w:rsidR="00BC3CCE" w:rsidRPr="00C2058E" w:rsidRDefault="00D916C2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2"/>
          <w:szCs w:val="22"/>
        </w:rPr>
      </w:pPr>
      <w:r w:rsidRPr="00C2058E">
        <w:rPr>
          <w:rFonts w:ascii="Arial" w:hAnsi="Arial" w:cs="Arial"/>
          <w:sz w:val="22"/>
          <w:szCs w:val="22"/>
        </w:rPr>
        <w:t>Experimental groups in these pre-clinical studies are defined by mouse genotype and experimental treatment, as described in the figure legends.  Masking was not used, except in the vitiligo experiments (Fig. 6</w:t>
      </w:r>
      <w:r w:rsidR="00B42D9E" w:rsidRPr="00C2058E">
        <w:rPr>
          <w:rFonts w:ascii="Arial" w:hAnsi="Arial" w:cs="Arial"/>
          <w:sz w:val="22"/>
          <w:szCs w:val="22"/>
        </w:rPr>
        <w:t xml:space="preserve"> and Supp. Fig</w:t>
      </w:r>
      <w:r w:rsidR="00E76838">
        <w:rPr>
          <w:rFonts w:ascii="Arial" w:hAnsi="Arial" w:cs="Arial"/>
          <w:sz w:val="22"/>
          <w:szCs w:val="22"/>
        </w:rPr>
        <w:t>s</w:t>
      </w:r>
      <w:r w:rsidR="00B42D9E" w:rsidRPr="00C2058E">
        <w:rPr>
          <w:rFonts w:ascii="Arial" w:hAnsi="Arial" w:cs="Arial"/>
          <w:sz w:val="22"/>
          <w:szCs w:val="22"/>
        </w:rPr>
        <w:t xml:space="preserve">. </w:t>
      </w:r>
      <w:r w:rsidR="00E76838">
        <w:rPr>
          <w:rFonts w:ascii="Arial" w:hAnsi="Arial" w:cs="Arial"/>
          <w:sz w:val="22"/>
          <w:szCs w:val="22"/>
        </w:rPr>
        <w:t>9 and 10</w:t>
      </w:r>
      <w:r w:rsidR="00B42D9E" w:rsidRPr="00C2058E">
        <w:rPr>
          <w:rFonts w:ascii="Arial" w:hAnsi="Arial" w:cs="Arial"/>
          <w:sz w:val="22"/>
          <w:szCs w:val="22"/>
        </w:rPr>
        <w:t xml:space="preserve">), in which the </w:t>
      </w:r>
      <w:r w:rsidR="00C2058E" w:rsidRPr="00C2058E">
        <w:rPr>
          <w:rFonts w:ascii="Arial" w:hAnsi="Arial" w:cs="Arial"/>
          <w:sz w:val="22"/>
          <w:szCs w:val="22"/>
        </w:rPr>
        <w:t xml:space="preserve">observer was blinded to experimental group, as described in Methods.  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lastRenderedPageBreak/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5723EBC0" w:rsid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8180A48" w14:textId="77777777" w:rsidR="0007026A" w:rsidRPr="00A62B52" w:rsidRDefault="0007026A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37128D0E" w:rsidR="00BC3CCE" w:rsidRPr="00C2058E" w:rsidRDefault="00C2058E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2"/>
          <w:szCs w:val="22"/>
        </w:rPr>
      </w:pPr>
      <w:r w:rsidRPr="00C2058E">
        <w:rPr>
          <w:rFonts w:ascii="Arial" w:hAnsi="Arial" w:cs="Arial"/>
          <w:sz w:val="22"/>
          <w:szCs w:val="22"/>
        </w:rPr>
        <w:t xml:space="preserve">No additional source data figures or files have been provided.  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2"/>
      <w:footerReference w:type="even" r:id="rId13"/>
      <w:footerReference w:type="default" r:id="rId14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BCDE99" w14:textId="77777777" w:rsidR="0094211E" w:rsidRDefault="0094211E" w:rsidP="004215FE">
      <w:r>
        <w:separator/>
      </w:r>
    </w:p>
  </w:endnote>
  <w:endnote w:type="continuationSeparator" w:id="0">
    <w:p w14:paraId="77FE8113" w14:textId="77777777" w:rsidR="0094211E" w:rsidRDefault="0094211E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altName w:val="Lucida G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18B4D8" w14:textId="77777777" w:rsidR="0094211E" w:rsidRDefault="0094211E" w:rsidP="004215FE">
      <w:r>
        <w:separator/>
      </w:r>
    </w:p>
  </w:footnote>
  <w:footnote w:type="continuationSeparator" w:id="0">
    <w:p w14:paraId="56DFEBB5" w14:textId="77777777" w:rsidR="0094211E" w:rsidRDefault="0094211E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9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22DC0"/>
    <w:rsid w:val="00062DBF"/>
    <w:rsid w:val="0007026A"/>
    <w:rsid w:val="00083FE8"/>
    <w:rsid w:val="0009444E"/>
    <w:rsid w:val="0009520A"/>
    <w:rsid w:val="000A326C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46325"/>
    <w:rsid w:val="00266462"/>
    <w:rsid w:val="00284F8D"/>
    <w:rsid w:val="002A068D"/>
    <w:rsid w:val="002A0ED1"/>
    <w:rsid w:val="002A7487"/>
    <w:rsid w:val="00307F5D"/>
    <w:rsid w:val="003248ED"/>
    <w:rsid w:val="003446A9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A6F8D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57AB2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5613C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4211E"/>
    <w:rsid w:val="00963CEF"/>
    <w:rsid w:val="00993065"/>
    <w:rsid w:val="009A0661"/>
    <w:rsid w:val="009D0D28"/>
    <w:rsid w:val="009E6ACE"/>
    <w:rsid w:val="009E7B13"/>
    <w:rsid w:val="00A11EC6"/>
    <w:rsid w:val="00A131BD"/>
    <w:rsid w:val="00A23E5C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42D9E"/>
    <w:rsid w:val="00B57E8A"/>
    <w:rsid w:val="00B64119"/>
    <w:rsid w:val="00B778E4"/>
    <w:rsid w:val="00B87240"/>
    <w:rsid w:val="00B94C5D"/>
    <w:rsid w:val="00BA4D1B"/>
    <w:rsid w:val="00BA5BB7"/>
    <w:rsid w:val="00BB00D0"/>
    <w:rsid w:val="00BB55EC"/>
    <w:rsid w:val="00BC3CCE"/>
    <w:rsid w:val="00C1184B"/>
    <w:rsid w:val="00C2058E"/>
    <w:rsid w:val="00C21D14"/>
    <w:rsid w:val="00C22169"/>
    <w:rsid w:val="00C24CF7"/>
    <w:rsid w:val="00C42ECB"/>
    <w:rsid w:val="00C52A77"/>
    <w:rsid w:val="00C820B0"/>
    <w:rsid w:val="00CC49D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16C2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76838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9BBE2E1E-E115-CE40-82B1-62F8001DB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284F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4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9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psychologie.hhu.de/arbeitsgruppen/allgemeine-psychologie-und-arbeitspsychologie/gpower.htm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C2E3304-AB3C-5146-9EB5-290C1DD12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947</Words>
  <Characters>5404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6339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Collings</dc:creator>
  <cp:keywords/>
  <dc:description/>
  <cp:lastModifiedBy>Stephen C Jameson</cp:lastModifiedBy>
  <cp:revision>2</cp:revision>
  <dcterms:created xsi:type="dcterms:W3CDTF">2021-04-22T13:13:00Z</dcterms:created>
  <dcterms:modified xsi:type="dcterms:W3CDTF">2021-04-22T13:13:00Z</dcterms:modified>
</cp:coreProperties>
</file>