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B1E26">
        <w:fldChar w:fldCharType="begin"/>
      </w:r>
      <w:r w:rsidR="006B1E26">
        <w:instrText xml:space="preserve"> HYPERLINK "https://biosharing.org/" \t "_blank" </w:instrText>
      </w:r>
      <w:r w:rsidR="006B1E2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B1E2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874E761" w14:textId="07DDC046" w:rsidR="001017D8" w:rsidRPr="001017D8" w:rsidRDefault="001017D8" w:rsidP="00006595">
      <w:pPr>
        <w:pStyle w:val="Heading1"/>
        <w:framePr w:w="7817" w:h="1088" w:hSpace="180" w:wrap="around" w:vAnchor="text" w:hAnchor="page" w:x="1858" w:y="1"/>
        <w:pBdr>
          <w:top w:val="single" w:sz="6" w:space="1" w:color="auto"/>
          <w:left w:val="single" w:sz="6" w:space="1" w:color="auto"/>
          <w:bottom w:val="single" w:sz="6" w:space="1" w:color="auto"/>
          <w:right w:val="single" w:sz="6" w:space="1" w:color="auto"/>
        </w:pBdr>
        <w:jc w:val="both"/>
        <w:textAlignment w:val="baseline"/>
        <w:rPr>
          <w:b w:val="0"/>
          <w:bCs w:val="0"/>
          <w:color w:val="2A2A2A"/>
          <w:sz w:val="22"/>
          <w:szCs w:val="22"/>
          <w:bdr w:val="none" w:sz="0" w:space="0" w:color="auto" w:frame="1"/>
          <w:shd w:val="clear" w:color="auto" w:fill="EFF2F7"/>
        </w:rPr>
      </w:pPr>
      <w:r w:rsidRPr="001017D8">
        <w:rPr>
          <w:rFonts w:asciiTheme="minorHAnsi" w:hAnsiTheme="minorHAnsi"/>
          <w:b w:val="0"/>
          <w:bCs w:val="0"/>
          <w:sz w:val="22"/>
          <w:szCs w:val="22"/>
        </w:rPr>
        <w:t>We based our power calculation on the results from the study by Tsai and Bell entitled ‘</w:t>
      </w:r>
      <w:r w:rsidRPr="001017D8">
        <w:rPr>
          <w:b w:val="0"/>
          <w:bCs w:val="0"/>
          <w:color w:val="2A2A2A"/>
          <w:sz w:val="22"/>
          <w:szCs w:val="22"/>
        </w:rPr>
        <w:t>Power and sample size estimation for epigenome-wide association scans to detect differential DNA methylation</w:t>
      </w:r>
      <w:r>
        <w:rPr>
          <w:b w:val="0"/>
          <w:bCs w:val="0"/>
          <w:color w:val="2A2A2A"/>
          <w:sz w:val="22"/>
          <w:szCs w:val="22"/>
        </w:rPr>
        <w:t xml:space="preserve">’ where it was found that a 10% effect size </w:t>
      </w:r>
      <w:r w:rsidRPr="001017D8">
        <w:rPr>
          <w:b w:val="0"/>
          <w:bCs w:val="0"/>
          <w:color w:val="2A2A2A"/>
          <w:sz w:val="22"/>
          <w:szCs w:val="22"/>
        </w:rPr>
        <w:t>at genome-wide significance threshold of </w:t>
      </w:r>
      <w:r w:rsidRPr="001017D8">
        <w:rPr>
          <w:rStyle w:val="Emphasis"/>
          <w:b w:val="0"/>
          <w:bCs w:val="0"/>
          <w:color w:val="2A2A2A"/>
          <w:sz w:val="22"/>
          <w:szCs w:val="22"/>
          <w:bdr w:val="none" w:sz="0" w:space="0" w:color="auto" w:frame="1"/>
        </w:rPr>
        <w:t>P</w:t>
      </w:r>
      <w:r w:rsidRPr="001017D8">
        <w:rPr>
          <w:b w:val="0"/>
          <w:bCs w:val="0"/>
          <w:color w:val="2A2A2A"/>
          <w:sz w:val="22"/>
          <w:szCs w:val="22"/>
        </w:rPr>
        <w:t> = 1 × 10</w:t>
      </w:r>
      <w:r w:rsidRPr="001017D8">
        <w:rPr>
          <w:b w:val="0"/>
          <w:bCs w:val="0"/>
          <w:color w:val="2A2A2A"/>
          <w:sz w:val="22"/>
          <w:szCs w:val="22"/>
          <w:bdr w:val="none" w:sz="0" w:space="0" w:color="auto" w:frame="1"/>
          <w:vertAlign w:val="superscript"/>
        </w:rPr>
        <w:t xml:space="preserve">−6 </w:t>
      </w:r>
      <w:r w:rsidRPr="001017D8">
        <w:rPr>
          <w:b w:val="0"/>
          <w:bCs w:val="0"/>
          <w:color w:val="2A2A2A"/>
          <w:sz w:val="22"/>
          <w:szCs w:val="22"/>
          <w:bdr w:val="none" w:sz="0" w:space="0" w:color="auto" w:frame="1"/>
        </w:rPr>
        <w:t>requires 112 samples from cases and controls</w:t>
      </w:r>
      <w:r w:rsidRPr="001017D8">
        <w:rPr>
          <w:b w:val="0"/>
          <w:bCs w:val="0"/>
          <w:color w:val="2A2A2A"/>
          <w:sz w:val="22"/>
          <w:szCs w:val="22"/>
          <w:bdr w:val="none" w:sz="0" w:space="0" w:color="auto" w:frame="1"/>
          <w:shd w:val="clear" w:color="auto" w:fill="EFF2F7"/>
        </w:rPr>
        <w:t xml:space="preserve"> </w:t>
      </w:r>
      <w:r w:rsidRPr="001017D8">
        <w:rPr>
          <w:b w:val="0"/>
          <w:bCs w:val="0"/>
          <w:color w:val="2A2A2A"/>
          <w:sz w:val="22"/>
          <w:szCs w:val="22"/>
          <w:bdr w:val="none" w:sz="0" w:space="0" w:color="auto" w:frame="1"/>
        </w:rPr>
        <w:t>to reach 80% EWAS power.</w:t>
      </w:r>
    </w:p>
    <w:p w14:paraId="6125FE17" w14:textId="444228E7" w:rsidR="001017D8" w:rsidRPr="001017D8" w:rsidRDefault="001017D8" w:rsidP="00006595">
      <w:pPr>
        <w:pStyle w:val="Heading1"/>
        <w:framePr w:w="7817" w:h="1088" w:hSpace="180" w:wrap="around" w:vAnchor="text" w:hAnchor="page" w:x="1858" w:y="1"/>
        <w:pBdr>
          <w:top w:val="single" w:sz="6" w:space="1" w:color="auto"/>
          <w:left w:val="single" w:sz="6" w:space="1" w:color="auto"/>
          <w:bottom w:val="single" w:sz="6" w:space="1" w:color="auto"/>
          <w:right w:val="single" w:sz="6" w:space="1" w:color="auto"/>
        </w:pBdr>
        <w:jc w:val="both"/>
        <w:textAlignment w:val="baseline"/>
        <w:rPr>
          <w:b w:val="0"/>
          <w:bCs w:val="0"/>
          <w:color w:val="2A2A2A"/>
          <w:sz w:val="22"/>
          <w:szCs w:val="22"/>
        </w:rPr>
      </w:pPr>
      <w:r w:rsidRPr="001017D8">
        <w:rPr>
          <w:b w:val="0"/>
          <w:bCs w:val="0"/>
          <w:color w:val="2A2A2A"/>
          <w:sz w:val="22"/>
          <w:szCs w:val="22"/>
          <w:bdr w:val="none" w:sz="0" w:space="0" w:color="auto" w:frame="1"/>
        </w:rPr>
        <w:t xml:space="preserve">This information is indicated in the manuscript in the methods </w:t>
      </w:r>
      <w:r w:rsidR="002815DE">
        <w:rPr>
          <w:b w:val="0"/>
          <w:bCs w:val="0"/>
          <w:color w:val="2A2A2A"/>
          <w:sz w:val="22"/>
          <w:szCs w:val="22"/>
          <w:bdr w:val="none" w:sz="0" w:space="0" w:color="auto" w:frame="1"/>
        </w:rPr>
        <w:t xml:space="preserve">section </w:t>
      </w:r>
      <w:r w:rsidRPr="001017D8">
        <w:rPr>
          <w:b w:val="0"/>
          <w:bCs w:val="0"/>
          <w:color w:val="2A2A2A"/>
          <w:sz w:val="22"/>
          <w:szCs w:val="22"/>
          <w:bdr w:val="none" w:sz="0" w:space="0" w:color="auto" w:frame="1"/>
        </w:rPr>
        <w:t>at the end of the</w:t>
      </w:r>
      <w:r w:rsidRPr="001017D8">
        <w:rPr>
          <w:b w:val="0"/>
          <w:bCs w:val="0"/>
          <w:color w:val="2A2A2A"/>
          <w:sz w:val="22"/>
          <w:szCs w:val="22"/>
          <w:bdr w:val="none" w:sz="0" w:space="0" w:color="auto" w:frame="1"/>
          <w:shd w:val="clear" w:color="auto" w:fill="EFF2F7"/>
        </w:rPr>
        <w:t xml:space="preserve"> </w:t>
      </w:r>
      <w:r w:rsidRPr="001017D8">
        <w:rPr>
          <w:b w:val="0"/>
          <w:bCs w:val="0"/>
          <w:color w:val="2A2A2A"/>
          <w:sz w:val="22"/>
          <w:szCs w:val="22"/>
          <w:bdr w:val="none" w:sz="0" w:space="0" w:color="auto" w:frame="1"/>
        </w:rPr>
        <w:t>subsection ‘study subjects’ on page 10.</w:t>
      </w:r>
    </w:p>
    <w:p w14:paraId="283305D7" w14:textId="57DD350D"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869F7F0" w14:textId="1E8CF36C" w:rsidR="005443BB" w:rsidRDefault="00534FF6" w:rsidP="00534FF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pPr>
      <w:r>
        <w:rPr>
          <w:rFonts w:asciiTheme="minorHAnsi" w:hAnsiTheme="minorHAnsi"/>
        </w:rPr>
        <w:lastRenderedPageBreak/>
        <w:t>The section under the subheading ‘</w:t>
      </w:r>
      <w:r>
        <w:t>DNA methylation profiling’ in the methods section (page 10) has a detailed description of the QC preprocessing analysis of the measured samples and criteria of exclusion. The study does not feature any technical replicates. Only Biological replicates consisting of separate individuals were included in the cases and controls.</w:t>
      </w:r>
      <w:r w:rsidR="005443BB">
        <w:t xml:space="preserve"> The dataset was randomly split into discovery and replication.</w:t>
      </w:r>
    </w:p>
    <w:p w14:paraId="0044310F" w14:textId="531ACE63" w:rsidR="00534FF6" w:rsidRDefault="00534FF6" w:rsidP="00534FF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pPr>
    </w:p>
    <w:p w14:paraId="466C7FD0" w14:textId="26301B65" w:rsidR="00534FF6" w:rsidRPr="00125190" w:rsidRDefault="00534FF6" w:rsidP="00534FF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t xml:space="preserve">Processed </w:t>
      </w:r>
      <w:r w:rsidR="005443BB">
        <w:t xml:space="preserve">and Raw </w:t>
      </w:r>
      <w:r>
        <w:t>methylation data</w:t>
      </w:r>
      <w:r w:rsidR="005443BB">
        <w:t xml:space="preserve"> as well as phenotype data were uploaded to GEO under the accession number GSE163970. Data will be visible to public on publication of the manuscript. In the meantime, reviewers can go to </w:t>
      </w:r>
      <w:hyperlink r:id="rId11" w:tgtFrame="_blank" w:history="1">
        <w:r w:rsidR="005443BB">
          <w:rPr>
            <w:rStyle w:val="Hyperlink"/>
            <w:rFonts w:ascii="Arial" w:hAnsi="Arial" w:cs="Arial"/>
            <w:color w:val="1155CC"/>
            <w:shd w:val="clear" w:color="auto" w:fill="FFFFFF"/>
          </w:rPr>
          <w:t>https://www.ncbi.nlm.nih.gov/geo/query/acc.cgi?acc=GSE163970</w:t>
        </w:r>
      </w:hyperlink>
      <w:r w:rsidR="005443BB">
        <w:t xml:space="preserve"> and use the token </w:t>
      </w:r>
      <w:proofErr w:type="spellStart"/>
      <w:r w:rsidR="005443BB" w:rsidRPr="005443BB">
        <w:rPr>
          <w:rFonts w:ascii="Arial" w:hAnsi="Arial" w:cs="Arial"/>
          <w:color w:val="FF0000"/>
          <w:shd w:val="clear" w:color="auto" w:fill="FFFFFF"/>
        </w:rPr>
        <w:t>cfqvgiacvfiflmn</w:t>
      </w:r>
      <w:proofErr w:type="spellEnd"/>
      <w:r w:rsidR="005443BB">
        <w:rPr>
          <w:rFonts w:ascii="Arial" w:hAnsi="Arial" w:cs="Arial"/>
          <w:color w:val="222222"/>
          <w:shd w:val="clear" w:color="auto" w:fill="FFFFFF"/>
        </w:rPr>
        <w:t xml:space="preserve"> </w:t>
      </w:r>
      <w:r w:rsidR="005443BB">
        <w:t>to access the data.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86F8E13" w:rsidR="0015519A" w:rsidRPr="00505C51" w:rsidRDefault="008C37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Requested information can be found in the ‘statistics.xlsx’ file uploaded with the manuscript.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43CBE03" w:rsidR="00BC3CCE" w:rsidRDefault="00BD0F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PDB patients were allocated to cases on the basis of medical examination (more details of the test performed can be found under ‘Study subjects’ in Materials and Methods.</w:t>
      </w:r>
    </w:p>
    <w:p w14:paraId="39525BC5" w14:textId="279776E0" w:rsidR="00BD0FBB" w:rsidRDefault="00BD0F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8B82ED6" w14:textId="23D1DA76" w:rsidR="00BD0FBB" w:rsidRPr="00505C51" w:rsidRDefault="00BD0F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Allocation of samples to discovery or replication sets was random</w:t>
      </w:r>
      <w:r w:rsidR="008C3763">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2376C13" w14:textId="4BFB45DE" w:rsidR="00443A60" w:rsidRPr="00505C51" w:rsidRDefault="00443A6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sites and regions with a differential methylation effect replicated at the FDR level &lt; 0.05 are listed in separate tables in the supplementary material.</w:t>
      </w:r>
      <w:r w:rsidR="008C3763">
        <w:rPr>
          <w:rFonts w:asciiTheme="minorHAnsi" w:hAnsiTheme="minorHAnsi"/>
          <w:sz w:val="22"/>
          <w:szCs w:val="22"/>
        </w:rPr>
        <w:t xml:space="preserve"> The statistical models for site and region analyses are described in full on pages 11&amp;12 in the Materials and Methods section.</w:t>
      </w:r>
      <w:r>
        <w:rPr>
          <w:rFonts w:asciiTheme="minorHAnsi" w:hAnsiTheme="minorHAnsi"/>
          <w:sz w:val="22"/>
          <w:szCs w:val="22"/>
        </w:rPr>
        <w:t xml:space="preserve"> Clinical information and the demographics of </w:t>
      </w:r>
      <w:r w:rsidR="008C3763">
        <w:rPr>
          <w:rFonts w:asciiTheme="minorHAnsi" w:hAnsiTheme="minorHAnsi"/>
          <w:sz w:val="22"/>
          <w:szCs w:val="22"/>
        </w:rPr>
        <w:t>the cohort</w:t>
      </w:r>
      <w:r>
        <w:rPr>
          <w:rFonts w:asciiTheme="minorHAnsi" w:hAnsiTheme="minorHAnsi"/>
          <w:sz w:val="22"/>
          <w:szCs w:val="22"/>
        </w:rPr>
        <w:t xml:space="preserve"> </w:t>
      </w:r>
      <w:r w:rsidR="008C3763">
        <w:rPr>
          <w:rFonts w:asciiTheme="minorHAnsi" w:hAnsiTheme="minorHAnsi"/>
          <w:sz w:val="22"/>
          <w:szCs w:val="22"/>
        </w:rPr>
        <w:t xml:space="preserve">as well as processed methylation data can be found at GEO under accession </w:t>
      </w:r>
      <w:r w:rsidR="008C3763">
        <w:t>GSE163970.</w:t>
      </w:r>
      <w:r w:rsidR="008C3763">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9E78B" w14:textId="77777777" w:rsidR="00856F84" w:rsidRDefault="00856F84" w:rsidP="004215FE">
      <w:r>
        <w:separator/>
      </w:r>
    </w:p>
  </w:endnote>
  <w:endnote w:type="continuationSeparator" w:id="0">
    <w:p w14:paraId="7D625F95" w14:textId="77777777" w:rsidR="00856F84" w:rsidRDefault="00856F8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FAFC" w14:textId="77777777" w:rsidR="00856F84" w:rsidRDefault="00856F84" w:rsidP="004215FE">
      <w:r>
        <w:separator/>
      </w:r>
    </w:p>
  </w:footnote>
  <w:footnote w:type="continuationSeparator" w:id="0">
    <w:p w14:paraId="7375E1CE" w14:textId="77777777" w:rsidR="00856F84" w:rsidRDefault="00856F8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6595"/>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7D8"/>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15DE"/>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3A60"/>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34FF6"/>
    <w:rsid w:val="005443BB"/>
    <w:rsid w:val="00550F13"/>
    <w:rsid w:val="005530AE"/>
    <w:rsid w:val="00555F44"/>
    <w:rsid w:val="00566103"/>
    <w:rsid w:val="005B0A15"/>
    <w:rsid w:val="00605A12"/>
    <w:rsid w:val="00634AC7"/>
    <w:rsid w:val="00657587"/>
    <w:rsid w:val="00661DCC"/>
    <w:rsid w:val="00672545"/>
    <w:rsid w:val="00685CCF"/>
    <w:rsid w:val="006A632B"/>
    <w:rsid w:val="006B1E26"/>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56F84"/>
    <w:rsid w:val="00860995"/>
    <w:rsid w:val="00865914"/>
    <w:rsid w:val="008669DA"/>
    <w:rsid w:val="0087056D"/>
    <w:rsid w:val="00876F8F"/>
    <w:rsid w:val="00877644"/>
    <w:rsid w:val="00877729"/>
    <w:rsid w:val="008A22A7"/>
    <w:rsid w:val="008C3763"/>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A4952"/>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0FBB"/>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paragraph" w:styleId="Heading1">
    <w:name w:val="heading 1"/>
    <w:basedOn w:val="Normal"/>
    <w:link w:val="Heading1Char"/>
    <w:uiPriority w:val="9"/>
    <w:qFormat/>
    <w:locked/>
    <w:rsid w:val="001017D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Heading1Char">
    <w:name w:val="Heading 1 Char"/>
    <w:basedOn w:val="DefaultParagraphFont"/>
    <w:link w:val="Heading1"/>
    <w:uiPriority w:val="9"/>
    <w:rsid w:val="001017D8"/>
    <w:rPr>
      <w:rFonts w:ascii="Times New Roman" w:eastAsia="Times New Roman" w:hAnsi="Times New Roman"/>
      <w:b/>
      <w:bCs/>
      <w:kern w:val="36"/>
      <w:sz w:val="48"/>
      <w:szCs w:val="48"/>
    </w:rPr>
  </w:style>
  <w:style w:type="character" w:styleId="Emphasis">
    <w:name w:val="Emphasis"/>
    <w:basedOn w:val="DefaultParagraphFont"/>
    <w:uiPriority w:val="20"/>
    <w:qFormat/>
    <w:locked/>
    <w:rsid w:val="00101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4399084">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63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Dr. Ilhame Diboun</cp:lastModifiedBy>
  <cp:revision>8</cp:revision>
  <dcterms:created xsi:type="dcterms:W3CDTF">2020-12-24T18:30:00Z</dcterms:created>
  <dcterms:modified xsi:type="dcterms:W3CDTF">2020-12-31T08:45:00Z</dcterms:modified>
</cp:coreProperties>
</file>