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F1060" w14:textId="6BCCD3E4" w:rsidR="0027352A" w:rsidRPr="009F18B9" w:rsidRDefault="0027352A" w:rsidP="0027352A">
      <w:pPr>
        <w:spacing w:after="0"/>
        <w:rPr>
          <w:rFonts w:cstheme="minorHAnsi"/>
          <w:b/>
          <w:bCs/>
        </w:rPr>
      </w:pPr>
      <w:r w:rsidRPr="004D1B2A">
        <w:rPr>
          <w:b/>
          <w:bCs/>
        </w:rPr>
        <w:t>S</w:t>
      </w:r>
      <w:r w:rsidRPr="004D1B2A">
        <w:rPr>
          <w:rFonts w:cstheme="minorHAnsi"/>
          <w:b/>
          <w:bCs/>
        </w:rPr>
        <w:t xml:space="preserve">upplementary </w:t>
      </w:r>
      <w:r>
        <w:rPr>
          <w:rFonts w:cstheme="minorHAnsi"/>
          <w:b/>
          <w:bCs/>
        </w:rPr>
        <w:t xml:space="preserve">File </w:t>
      </w:r>
      <w:r w:rsidR="00D07CDB">
        <w:rPr>
          <w:rFonts w:cstheme="minorHAnsi"/>
          <w:b/>
          <w:bCs/>
        </w:rPr>
        <w:t>4</w:t>
      </w:r>
      <w:r w:rsidR="004974D8">
        <w:rPr>
          <w:rFonts w:cstheme="minorHAnsi"/>
          <w:b/>
          <w:bCs/>
        </w:rPr>
        <w:t>-t</w:t>
      </w:r>
      <w:r>
        <w:rPr>
          <w:rFonts w:cstheme="minorHAnsi"/>
          <w:b/>
          <w:bCs/>
        </w:rPr>
        <w:t>able</w:t>
      </w:r>
      <w:r w:rsidR="004974D8">
        <w:rPr>
          <w:rFonts w:cstheme="minorHAnsi"/>
          <w:b/>
          <w:bCs/>
        </w:rPr>
        <w:t xml:space="preserve"> 1</w:t>
      </w:r>
      <w:r w:rsidRPr="004D1B2A">
        <w:rPr>
          <w:rFonts w:cstheme="minorHAnsi"/>
          <w:b/>
          <w:bCs/>
        </w:rPr>
        <w:t xml:space="preserve">: Association between </w:t>
      </w:r>
      <w:r>
        <w:rPr>
          <w:rFonts w:cstheme="minorHAnsi"/>
          <w:b/>
          <w:bCs/>
        </w:rPr>
        <w:t xml:space="preserve">selected </w:t>
      </w:r>
      <w:r w:rsidRPr="004D1B2A">
        <w:rPr>
          <w:rFonts w:cstheme="minorHAnsi"/>
          <w:b/>
          <w:bCs/>
        </w:rPr>
        <w:t>antibody features and gravidity</w:t>
      </w:r>
      <w:r w:rsidRPr="004D1B2A">
        <w:rPr>
          <w:rFonts w:cstheme="minorHAnsi"/>
          <w:b/>
          <w:bCs/>
          <w:vertAlign w:val="superscript"/>
        </w:rPr>
        <w:t>a</w:t>
      </w:r>
      <w:r w:rsidRPr="004D1B2A">
        <w:rPr>
          <w:rFonts w:cstheme="minorHAnsi"/>
          <w:b/>
          <w:bCs/>
        </w:rPr>
        <w:t xml:space="preserve"> in 77 women</w:t>
      </w:r>
      <w:r w:rsidR="009F18B9">
        <w:rPr>
          <w:rFonts w:cstheme="minorHAnsi"/>
          <w:b/>
          <w:bCs/>
        </w:rPr>
        <w:t xml:space="preserve"> </w:t>
      </w:r>
      <w:r w:rsidRPr="004D1B2A">
        <w:rPr>
          <w:rFonts w:cstheme="minorHAnsi"/>
          <w:b/>
          <w:bCs/>
        </w:rPr>
        <w:t>(</w:t>
      </w:r>
      <w:r w:rsidR="002D63C9">
        <w:rPr>
          <w:rFonts w:cstheme="minorHAnsi"/>
          <w:b/>
          <w:bCs/>
        </w:rPr>
        <w:t>women with placental malaria or non-placental infection at delivery</w:t>
      </w:r>
      <w:r w:rsidRPr="004D1B2A">
        <w:rPr>
          <w:rFonts w:cstheme="minorHAnsi"/>
          <w:b/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620"/>
        <w:gridCol w:w="1800"/>
        <w:gridCol w:w="1710"/>
      </w:tblGrid>
      <w:tr w:rsidR="0027352A" w:rsidRPr="004D1B2A" w14:paraId="3320F0A0" w14:textId="77777777" w:rsidTr="00F771EC"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64420B9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Antibody feature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EA8179F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Coefficient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19F145E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95% CI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EDD194F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p-value</w:t>
            </w:r>
          </w:p>
        </w:tc>
      </w:tr>
      <w:tr w:rsidR="0027352A" w:rsidRPr="004D1B2A" w14:paraId="3C8503A6" w14:textId="77777777" w:rsidTr="00F771EC">
        <w:tc>
          <w:tcPr>
            <w:tcW w:w="2880" w:type="dxa"/>
            <w:tcBorders>
              <w:top w:val="single" w:sz="4" w:space="0" w:color="auto"/>
            </w:tcBorders>
          </w:tcPr>
          <w:p w14:paraId="11BBE698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IgG3.DBL2(ID1-ID2a).FCR3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08A1F18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0.0007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DD7DFAA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-0.25, 0.25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DAC7803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1.00</w:t>
            </w:r>
          </w:p>
        </w:tc>
      </w:tr>
      <w:tr w:rsidR="0027352A" w:rsidRPr="004D1B2A" w14:paraId="780DD50E" w14:textId="77777777" w:rsidTr="00F771EC">
        <w:tc>
          <w:tcPr>
            <w:tcW w:w="2880" w:type="dxa"/>
          </w:tcPr>
          <w:p w14:paraId="55E9DB1C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THP1.Phago.CS2</w:t>
            </w:r>
          </w:p>
        </w:tc>
        <w:tc>
          <w:tcPr>
            <w:tcW w:w="1620" w:type="dxa"/>
          </w:tcPr>
          <w:p w14:paraId="078798EB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0.19</w:t>
            </w:r>
          </w:p>
        </w:tc>
        <w:tc>
          <w:tcPr>
            <w:tcW w:w="1800" w:type="dxa"/>
          </w:tcPr>
          <w:p w14:paraId="78021761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-0.07, 0.45</w:t>
            </w:r>
          </w:p>
        </w:tc>
        <w:tc>
          <w:tcPr>
            <w:tcW w:w="1710" w:type="dxa"/>
          </w:tcPr>
          <w:p w14:paraId="0347E44B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0.15</w:t>
            </w:r>
          </w:p>
        </w:tc>
      </w:tr>
      <w:tr w:rsidR="0027352A" w:rsidRPr="004D1B2A" w14:paraId="6C366854" w14:textId="77777777" w:rsidTr="00F771EC">
        <w:tc>
          <w:tcPr>
            <w:tcW w:w="2880" w:type="dxa"/>
          </w:tcPr>
          <w:p w14:paraId="45B362B0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Neutrophil.Phago.CS2</w:t>
            </w:r>
          </w:p>
        </w:tc>
        <w:tc>
          <w:tcPr>
            <w:tcW w:w="1620" w:type="dxa"/>
          </w:tcPr>
          <w:p w14:paraId="0DDDDA60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0.2</w:t>
            </w:r>
          </w:p>
        </w:tc>
        <w:tc>
          <w:tcPr>
            <w:tcW w:w="1800" w:type="dxa"/>
          </w:tcPr>
          <w:p w14:paraId="130F3F96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-0.06, 0.46</w:t>
            </w:r>
          </w:p>
        </w:tc>
        <w:tc>
          <w:tcPr>
            <w:tcW w:w="1710" w:type="dxa"/>
          </w:tcPr>
          <w:p w14:paraId="4B07257F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0.13</w:t>
            </w:r>
          </w:p>
        </w:tc>
      </w:tr>
      <w:tr w:rsidR="0027352A" w:rsidRPr="004D1B2A" w14:paraId="5BF074C0" w14:textId="77777777" w:rsidTr="00F771EC">
        <w:tc>
          <w:tcPr>
            <w:tcW w:w="2880" w:type="dxa"/>
          </w:tcPr>
          <w:p w14:paraId="7E4D4DA1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CSA.Binding.Inhibition.FCR3</w:t>
            </w:r>
          </w:p>
        </w:tc>
        <w:tc>
          <w:tcPr>
            <w:tcW w:w="1620" w:type="dxa"/>
          </w:tcPr>
          <w:p w14:paraId="76A82813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0.3</w:t>
            </w:r>
          </w:p>
        </w:tc>
        <w:tc>
          <w:tcPr>
            <w:tcW w:w="1800" w:type="dxa"/>
          </w:tcPr>
          <w:p w14:paraId="2C165438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0.005, 0.59</w:t>
            </w:r>
          </w:p>
        </w:tc>
        <w:tc>
          <w:tcPr>
            <w:tcW w:w="1710" w:type="dxa"/>
          </w:tcPr>
          <w:p w14:paraId="6FA9B0CC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0.046</w:t>
            </w:r>
          </w:p>
        </w:tc>
      </w:tr>
      <w:tr w:rsidR="0027352A" w:rsidRPr="004D1B2A" w14:paraId="5A0BB9BD" w14:textId="77777777" w:rsidTr="00F771EC">
        <w:tc>
          <w:tcPr>
            <w:tcW w:w="2880" w:type="dxa"/>
          </w:tcPr>
          <w:p w14:paraId="32BBC04B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IgA2.DBL2.1010</w:t>
            </w:r>
          </w:p>
        </w:tc>
        <w:tc>
          <w:tcPr>
            <w:tcW w:w="1620" w:type="dxa"/>
          </w:tcPr>
          <w:p w14:paraId="67CCCF37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0.038</w:t>
            </w:r>
          </w:p>
        </w:tc>
        <w:tc>
          <w:tcPr>
            <w:tcW w:w="1800" w:type="dxa"/>
          </w:tcPr>
          <w:p w14:paraId="3736663E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-0.23, 0.30</w:t>
            </w:r>
          </w:p>
        </w:tc>
        <w:tc>
          <w:tcPr>
            <w:tcW w:w="1710" w:type="dxa"/>
          </w:tcPr>
          <w:p w14:paraId="3CFD3CA1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0.78</w:t>
            </w:r>
          </w:p>
        </w:tc>
      </w:tr>
      <w:tr w:rsidR="0027352A" w:rsidRPr="004D1B2A" w14:paraId="7DE4587C" w14:textId="77777777" w:rsidTr="00F771EC">
        <w:tc>
          <w:tcPr>
            <w:tcW w:w="2880" w:type="dxa"/>
            <w:tcBorders>
              <w:bottom w:val="single" w:sz="4" w:space="0" w:color="auto"/>
            </w:tcBorders>
          </w:tcPr>
          <w:p w14:paraId="0EE16BEB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IgG3.3D7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8F5CB31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-0.04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81192E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-0.31, 0.23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BAFAF49" w14:textId="77777777" w:rsidR="0027352A" w:rsidRPr="004D1B2A" w:rsidRDefault="0027352A" w:rsidP="00F771EC">
            <w:pPr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0.78</w:t>
            </w:r>
          </w:p>
        </w:tc>
      </w:tr>
    </w:tbl>
    <w:p w14:paraId="3C238C80" w14:textId="77777777" w:rsidR="0027352A" w:rsidRPr="004D1B2A" w:rsidRDefault="0027352A" w:rsidP="0027352A">
      <w:r w:rsidRPr="004D1B2A">
        <w:rPr>
          <w:rFonts w:cstheme="minorHAnsi"/>
          <w:vertAlign w:val="superscript"/>
        </w:rPr>
        <w:t>a</w:t>
      </w:r>
      <w:r w:rsidRPr="004D1B2A">
        <w:rPr>
          <w:rFonts w:cstheme="minorHAnsi"/>
        </w:rPr>
        <w:t>Women were classified as primigravidae, 1; secundigravidae, 2; or multigravidae, 3.</w:t>
      </w:r>
    </w:p>
    <w:p w14:paraId="3AD1E34A" w14:textId="77777777" w:rsidR="0027352A" w:rsidRPr="004D1B2A" w:rsidRDefault="0027352A" w:rsidP="0027352A">
      <w:pPr>
        <w:suppressLineNumbers/>
        <w:rPr>
          <w:rFonts w:cstheme="minorHAnsi"/>
        </w:rPr>
      </w:pPr>
    </w:p>
    <w:p w14:paraId="21097117" w14:textId="3F2C2847" w:rsidR="0027352A" w:rsidRPr="004D1B2A" w:rsidRDefault="0027352A" w:rsidP="0027352A">
      <w:pPr>
        <w:spacing w:after="0"/>
        <w:rPr>
          <w:rFonts w:cstheme="minorHAnsi"/>
          <w:b/>
          <w:bCs/>
        </w:rPr>
      </w:pPr>
      <w:r w:rsidRPr="004D1B2A">
        <w:rPr>
          <w:b/>
          <w:bCs/>
        </w:rPr>
        <w:t>S</w:t>
      </w:r>
      <w:r w:rsidRPr="004D1B2A">
        <w:rPr>
          <w:rFonts w:cstheme="minorHAnsi"/>
          <w:b/>
          <w:bCs/>
        </w:rPr>
        <w:t xml:space="preserve">upplementary </w:t>
      </w:r>
      <w:r>
        <w:rPr>
          <w:rFonts w:cstheme="minorHAnsi"/>
          <w:b/>
          <w:bCs/>
        </w:rPr>
        <w:t xml:space="preserve">File </w:t>
      </w:r>
      <w:r w:rsidR="00D07CDB">
        <w:rPr>
          <w:rFonts w:cstheme="minorHAnsi"/>
          <w:b/>
          <w:bCs/>
        </w:rPr>
        <w:t>4</w:t>
      </w:r>
      <w:r w:rsidR="004974D8">
        <w:rPr>
          <w:rFonts w:cstheme="minorHAnsi"/>
          <w:b/>
          <w:bCs/>
        </w:rPr>
        <w:t>-t</w:t>
      </w:r>
      <w:r>
        <w:rPr>
          <w:rFonts w:cstheme="minorHAnsi"/>
          <w:b/>
          <w:bCs/>
        </w:rPr>
        <w:t>able</w:t>
      </w:r>
      <w:r w:rsidR="004974D8">
        <w:rPr>
          <w:rFonts w:cstheme="minorHAnsi"/>
          <w:b/>
          <w:bCs/>
        </w:rPr>
        <w:t xml:space="preserve"> </w:t>
      </w:r>
      <w:r w:rsidR="009039E6">
        <w:rPr>
          <w:rFonts w:cstheme="minorHAnsi"/>
          <w:b/>
          <w:bCs/>
        </w:rPr>
        <w:t>2</w:t>
      </w:r>
      <w:r w:rsidRPr="004D1B2A">
        <w:rPr>
          <w:rFonts w:cstheme="minorHAnsi"/>
          <w:b/>
          <w:bCs/>
        </w:rPr>
        <w:t xml:space="preserve">: Univariate analysis of </w:t>
      </w:r>
      <w:r>
        <w:rPr>
          <w:rFonts w:cstheme="minorHAnsi"/>
          <w:b/>
          <w:bCs/>
        </w:rPr>
        <w:t xml:space="preserve">selected </w:t>
      </w:r>
      <w:r w:rsidRPr="004D1B2A">
        <w:rPr>
          <w:rFonts w:cstheme="minorHAnsi"/>
          <w:b/>
          <w:bCs/>
        </w:rPr>
        <w:t>antibody features placental malaria v non-placental infection, in women uninfected at enrolment</w:t>
      </w:r>
      <w:r w:rsidRPr="004D1B2A">
        <w:rPr>
          <w:rFonts w:eastAsia="Times New Roman" w:cstheme="minorHAnsi"/>
          <w:b/>
          <w:bCs/>
          <w:vertAlign w:val="superscript"/>
          <w:lang w:val="fr-FR"/>
        </w:rPr>
        <w:t>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2213"/>
        <w:gridCol w:w="2214"/>
        <w:gridCol w:w="2214"/>
      </w:tblGrid>
      <w:tr w:rsidR="0027352A" w:rsidRPr="004D1B2A" w14:paraId="0F636439" w14:textId="77777777" w:rsidTr="00F771EC"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445B8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Antibody feature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4677" w14:textId="77777777" w:rsidR="0027352A" w:rsidRPr="004D1B2A" w:rsidRDefault="0027352A" w:rsidP="00F771EC">
            <w:pPr>
              <w:suppressLineNumbers/>
              <w:jc w:val="center"/>
              <w:rPr>
                <w:rFonts w:eastAsia="Times New Roman" w:cstheme="minorHAnsi"/>
              </w:rPr>
            </w:pPr>
            <w:r w:rsidRPr="004D1B2A">
              <w:rPr>
                <w:rFonts w:eastAsia="Times New Roman" w:cstheme="minorHAnsi"/>
              </w:rPr>
              <w:t>Placental malaria</w:t>
            </w:r>
          </w:p>
          <w:p w14:paraId="1A22F390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(n=21)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ABDC" w14:textId="77777777" w:rsidR="0027352A" w:rsidRPr="004D1B2A" w:rsidRDefault="0027352A" w:rsidP="00F771EC">
            <w:pPr>
              <w:suppressLineNumbers/>
              <w:jc w:val="center"/>
              <w:rPr>
                <w:rFonts w:eastAsia="Times New Roman" w:cstheme="minorHAnsi"/>
              </w:rPr>
            </w:pPr>
            <w:r w:rsidRPr="004D1B2A">
              <w:rPr>
                <w:rFonts w:eastAsia="Times New Roman" w:cstheme="minorHAnsi"/>
              </w:rPr>
              <w:t>Non-placental infection</w:t>
            </w:r>
          </w:p>
          <w:p w14:paraId="315BFAE1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cstheme="minorHAnsi"/>
              </w:rPr>
              <w:t>(n=43)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4490E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  <w:lang w:val="fr-FR"/>
              </w:rPr>
              <w:t>Placental malaria v Non-placental infection</w:t>
            </w:r>
          </w:p>
        </w:tc>
      </w:tr>
      <w:tr w:rsidR="0027352A" w:rsidRPr="004D1B2A" w14:paraId="54181ECD" w14:textId="77777777" w:rsidTr="00F771EC">
        <w:tc>
          <w:tcPr>
            <w:tcW w:w="2709" w:type="dxa"/>
            <w:tcBorders>
              <w:top w:val="single" w:sz="4" w:space="0" w:color="auto"/>
            </w:tcBorders>
            <w:vAlign w:val="bottom"/>
          </w:tcPr>
          <w:p w14:paraId="730892C8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14:paraId="2AF3E5B7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mean (SD)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14:paraId="69C0560D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mean (SD)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vAlign w:val="center"/>
          </w:tcPr>
          <w:p w14:paraId="12B20FE2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p value</w:t>
            </w:r>
          </w:p>
        </w:tc>
      </w:tr>
      <w:tr w:rsidR="0027352A" w:rsidRPr="004D1B2A" w14:paraId="075C5B5A" w14:textId="77777777" w:rsidTr="00F771EC">
        <w:tc>
          <w:tcPr>
            <w:tcW w:w="2709" w:type="dxa"/>
          </w:tcPr>
          <w:p w14:paraId="3C62862D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IgG3.DBL2(ID1-ID2a).FCR3</w:t>
            </w:r>
          </w:p>
        </w:tc>
        <w:tc>
          <w:tcPr>
            <w:tcW w:w="2213" w:type="dxa"/>
            <w:vAlign w:val="center"/>
          </w:tcPr>
          <w:p w14:paraId="2AC22ED0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-0.25 (0.87)</w:t>
            </w:r>
          </w:p>
        </w:tc>
        <w:tc>
          <w:tcPr>
            <w:tcW w:w="2214" w:type="dxa"/>
            <w:vAlign w:val="center"/>
          </w:tcPr>
          <w:p w14:paraId="768A9975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0.55 (0.62)</w:t>
            </w:r>
          </w:p>
        </w:tc>
        <w:tc>
          <w:tcPr>
            <w:tcW w:w="2214" w:type="dxa"/>
            <w:vAlign w:val="center"/>
          </w:tcPr>
          <w:p w14:paraId="3E2E0AAD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&lt;0.000</w:t>
            </w:r>
          </w:p>
        </w:tc>
      </w:tr>
      <w:tr w:rsidR="0027352A" w:rsidRPr="004D1B2A" w14:paraId="799604A2" w14:textId="77777777" w:rsidTr="00F771EC">
        <w:tc>
          <w:tcPr>
            <w:tcW w:w="2709" w:type="dxa"/>
          </w:tcPr>
          <w:p w14:paraId="7D2950A0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THP1.Phago.CS2</w:t>
            </w:r>
          </w:p>
        </w:tc>
        <w:tc>
          <w:tcPr>
            <w:tcW w:w="2213" w:type="dxa"/>
            <w:vAlign w:val="center"/>
          </w:tcPr>
          <w:p w14:paraId="35070E86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-0.28 (0.80)</w:t>
            </w:r>
          </w:p>
        </w:tc>
        <w:tc>
          <w:tcPr>
            <w:tcW w:w="2214" w:type="dxa"/>
            <w:vAlign w:val="center"/>
          </w:tcPr>
          <w:p w14:paraId="6AC50305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0.47 (1.04)</w:t>
            </w:r>
          </w:p>
        </w:tc>
        <w:tc>
          <w:tcPr>
            <w:tcW w:w="2214" w:type="dxa"/>
            <w:vAlign w:val="center"/>
          </w:tcPr>
          <w:p w14:paraId="2311B694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0.002</w:t>
            </w:r>
          </w:p>
        </w:tc>
      </w:tr>
      <w:tr w:rsidR="0027352A" w:rsidRPr="004D1B2A" w14:paraId="322A3B13" w14:textId="77777777" w:rsidTr="00F771EC">
        <w:tc>
          <w:tcPr>
            <w:tcW w:w="2709" w:type="dxa"/>
          </w:tcPr>
          <w:p w14:paraId="0B3CB5E3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Neutrophil.Phago.CS2</w:t>
            </w:r>
          </w:p>
        </w:tc>
        <w:tc>
          <w:tcPr>
            <w:tcW w:w="2213" w:type="dxa"/>
            <w:vAlign w:val="center"/>
          </w:tcPr>
          <w:p w14:paraId="331A82D5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-0.21 (1.06)</w:t>
            </w:r>
          </w:p>
        </w:tc>
        <w:tc>
          <w:tcPr>
            <w:tcW w:w="2214" w:type="dxa"/>
            <w:vAlign w:val="center"/>
          </w:tcPr>
          <w:p w14:paraId="1B19F627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0.46 (0.56)</w:t>
            </w:r>
          </w:p>
        </w:tc>
        <w:tc>
          <w:tcPr>
            <w:tcW w:w="2214" w:type="dxa"/>
            <w:vAlign w:val="center"/>
          </w:tcPr>
          <w:p w14:paraId="4E0508AA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0.009</w:t>
            </w:r>
          </w:p>
        </w:tc>
      </w:tr>
      <w:tr w:rsidR="0027352A" w:rsidRPr="004D1B2A" w14:paraId="326BA94E" w14:textId="77777777" w:rsidTr="00F771EC">
        <w:tc>
          <w:tcPr>
            <w:tcW w:w="2709" w:type="dxa"/>
          </w:tcPr>
          <w:p w14:paraId="19290F29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CSA.Binding.Inhibition.FCR3</w:t>
            </w:r>
          </w:p>
        </w:tc>
        <w:tc>
          <w:tcPr>
            <w:tcW w:w="2213" w:type="dxa"/>
            <w:vAlign w:val="center"/>
          </w:tcPr>
          <w:p w14:paraId="573767C4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-0.28 (1.39)</w:t>
            </w:r>
          </w:p>
        </w:tc>
        <w:tc>
          <w:tcPr>
            <w:tcW w:w="2214" w:type="dxa"/>
            <w:vAlign w:val="center"/>
          </w:tcPr>
          <w:p w14:paraId="0394BC2C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0.31 (0.43)</w:t>
            </w:r>
          </w:p>
        </w:tc>
        <w:tc>
          <w:tcPr>
            <w:tcW w:w="2214" w:type="dxa"/>
            <w:vAlign w:val="center"/>
          </w:tcPr>
          <w:p w14:paraId="7C03A206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0.064</w:t>
            </w:r>
          </w:p>
        </w:tc>
      </w:tr>
      <w:tr w:rsidR="0027352A" w:rsidRPr="004D1B2A" w14:paraId="3C995FEB" w14:textId="77777777" w:rsidTr="00F771EC">
        <w:tc>
          <w:tcPr>
            <w:tcW w:w="2709" w:type="dxa"/>
          </w:tcPr>
          <w:p w14:paraId="674AE92E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IgA2.DBL2.1010</w:t>
            </w:r>
          </w:p>
        </w:tc>
        <w:tc>
          <w:tcPr>
            <w:tcW w:w="2213" w:type="dxa"/>
            <w:vAlign w:val="center"/>
          </w:tcPr>
          <w:p w14:paraId="3FE06D5E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-0.28 (0.98)</w:t>
            </w:r>
          </w:p>
        </w:tc>
        <w:tc>
          <w:tcPr>
            <w:tcW w:w="2214" w:type="dxa"/>
            <w:vAlign w:val="center"/>
          </w:tcPr>
          <w:p w14:paraId="1FD078F5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0.40 (1.03)</w:t>
            </w:r>
          </w:p>
        </w:tc>
        <w:tc>
          <w:tcPr>
            <w:tcW w:w="2214" w:type="dxa"/>
            <w:vAlign w:val="center"/>
          </w:tcPr>
          <w:p w14:paraId="1BBCFF43" w14:textId="77777777" w:rsidR="0027352A" w:rsidRPr="004D1B2A" w:rsidRDefault="0027352A" w:rsidP="00F771EC">
            <w:pPr>
              <w:suppressLineNumbers/>
              <w:jc w:val="center"/>
              <w:rPr>
                <w:rFonts w:cstheme="minorHAnsi"/>
              </w:rPr>
            </w:pPr>
            <w:r w:rsidRPr="004D1B2A">
              <w:rPr>
                <w:rFonts w:eastAsia="Times New Roman" w:cstheme="minorHAnsi"/>
              </w:rPr>
              <w:t>0.013</w:t>
            </w:r>
          </w:p>
        </w:tc>
      </w:tr>
      <w:tr w:rsidR="0027352A" w:rsidRPr="004D1B2A" w14:paraId="14B6EF9E" w14:textId="77777777" w:rsidTr="00F771EC">
        <w:tc>
          <w:tcPr>
            <w:tcW w:w="2709" w:type="dxa"/>
            <w:tcBorders>
              <w:bottom w:val="single" w:sz="4" w:space="0" w:color="auto"/>
            </w:tcBorders>
          </w:tcPr>
          <w:p w14:paraId="63018526" w14:textId="77777777" w:rsidR="0027352A" w:rsidRPr="004D1B2A" w:rsidRDefault="0027352A" w:rsidP="00F771EC">
            <w:pPr>
              <w:suppressLineNumbers/>
              <w:jc w:val="center"/>
              <w:rPr>
                <w:rFonts w:eastAsia="Times New Roman" w:cstheme="minorHAnsi"/>
              </w:rPr>
            </w:pPr>
            <w:r w:rsidRPr="004D1B2A">
              <w:rPr>
                <w:rFonts w:eastAsia="Times New Roman" w:cstheme="minorHAnsi"/>
              </w:rPr>
              <w:t>IgG3.3D7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C5DE748" w14:textId="77777777" w:rsidR="0027352A" w:rsidRPr="004D1B2A" w:rsidRDefault="0027352A" w:rsidP="00F771EC">
            <w:pPr>
              <w:suppressLineNumbers/>
              <w:jc w:val="center"/>
              <w:rPr>
                <w:rFonts w:eastAsia="Times New Roman" w:cstheme="minorHAnsi"/>
              </w:rPr>
            </w:pPr>
            <w:r w:rsidRPr="004D1B2A">
              <w:rPr>
                <w:rFonts w:eastAsia="Times New Roman" w:cstheme="minorHAnsi"/>
              </w:rPr>
              <w:t>-.12 (0.89)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497EA540" w14:textId="77777777" w:rsidR="0027352A" w:rsidRPr="004D1B2A" w:rsidRDefault="0027352A" w:rsidP="00F771EC">
            <w:pPr>
              <w:suppressLineNumbers/>
              <w:jc w:val="center"/>
              <w:rPr>
                <w:rFonts w:eastAsia="Times New Roman" w:cstheme="minorHAnsi"/>
              </w:rPr>
            </w:pPr>
            <w:r w:rsidRPr="004D1B2A">
              <w:rPr>
                <w:rFonts w:eastAsia="Times New Roman" w:cstheme="minorHAnsi"/>
              </w:rPr>
              <w:t>0.36 (1.05)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1A9657E7" w14:textId="77777777" w:rsidR="0027352A" w:rsidRPr="004D1B2A" w:rsidRDefault="0027352A" w:rsidP="00F771EC">
            <w:pPr>
              <w:suppressLineNumbers/>
              <w:jc w:val="center"/>
              <w:rPr>
                <w:rFonts w:eastAsia="Times New Roman" w:cstheme="minorHAnsi"/>
              </w:rPr>
            </w:pPr>
            <w:r w:rsidRPr="004D1B2A">
              <w:rPr>
                <w:rFonts w:eastAsia="Times New Roman" w:cstheme="minorHAnsi"/>
              </w:rPr>
              <w:t>0.062</w:t>
            </w:r>
          </w:p>
        </w:tc>
      </w:tr>
    </w:tbl>
    <w:p w14:paraId="49134ACD" w14:textId="77777777" w:rsidR="0027352A" w:rsidRDefault="0027352A" w:rsidP="0027352A">
      <w:pPr>
        <w:suppressLineNumbers/>
        <w:rPr>
          <w:rFonts w:cstheme="minorHAnsi"/>
          <w:b/>
          <w:bCs/>
          <w:lang w:val="en-GB"/>
        </w:rPr>
      </w:pPr>
      <w:r w:rsidRPr="004D1B2A">
        <w:rPr>
          <w:rFonts w:eastAsia="Times New Roman" w:cstheme="minorHAnsi"/>
          <w:vertAlign w:val="superscript"/>
          <w:lang w:val="fr-FR"/>
        </w:rPr>
        <w:t>a</w:t>
      </w:r>
      <w:r w:rsidRPr="004D1B2A">
        <w:rPr>
          <w:rFonts w:eastAsia="Times New Roman" w:cstheme="minorHAnsi"/>
          <w:lang w:val="fr-FR"/>
        </w:rPr>
        <w:t xml:space="preserve">Women who had </w:t>
      </w:r>
      <w:r w:rsidRPr="004D1B2A">
        <w:rPr>
          <w:rFonts w:eastAsia="Times New Roman" w:cstheme="minorHAnsi"/>
          <w:i/>
          <w:iCs/>
          <w:lang w:val="fr-FR"/>
        </w:rPr>
        <w:t>P. falciparum</w:t>
      </w:r>
      <w:r w:rsidRPr="004D1B2A">
        <w:rPr>
          <w:rFonts w:eastAsia="Times New Roman" w:cstheme="minorHAnsi"/>
          <w:lang w:val="fr-FR"/>
        </w:rPr>
        <w:t xml:space="preserve"> infection at enrolment by PCR and/or light microscopy were excluded from this analysis.</w:t>
      </w:r>
    </w:p>
    <w:p w14:paraId="73997CFA" w14:textId="77777777" w:rsidR="00AF3B3C" w:rsidRDefault="00D07CDB"/>
    <w:sectPr w:rsidR="00AF3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2A"/>
    <w:rsid w:val="000928D9"/>
    <w:rsid w:val="0027352A"/>
    <w:rsid w:val="002D63C9"/>
    <w:rsid w:val="003107CE"/>
    <w:rsid w:val="004974D8"/>
    <w:rsid w:val="009039E6"/>
    <w:rsid w:val="009F18B9"/>
    <w:rsid w:val="00D07CDB"/>
    <w:rsid w:val="00D8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0DA8"/>
  <w15:chartTrackingRefBased/>
  <w15:docId w15:val="{C544C981-40EA-42B5-8F50-584CD4FF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Aitken</dc:creator>
  <cp:keywords/>
  <dc:description/>
  <cp:lastModifiedBy>Elizabeth Aitken</cp:lastModifiedBy>
  <cp:revision>6</cp:revision>
  <dcterms:created xsi:type="dcterms:W3CDTF">2021-05-23T23:00:00Z</dcterms:created>
  <dcterms:modified xsi:type="dcterms:W3CDTF">2021-05-28T06:33:00Z</dcterms:modified>
</cp:coreProperties>
</file>