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35"/>
        <w:gridCol w:w="1535"/>
        <w:gridCol w:w="2700"/>
        <w:gridCol w:w="2707"/>
      </w:tblGrid>
      <w:tr w:rsidR="00F3526B" w:rsidRPr="00DD145B" w14:paraId="67EE7D80" w14:textId="77777777" w:rsidTr="005A6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5" w:type="dxa"/>
            <w:vAlign w:val="center"/>
          </w:tcPr>
          <w:p w14:paraId="3CA8E467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1535" w:type="dxa"/>
            <w:vAlign w:val="center"/>
          </w:tcPr>
          <w:p w14:paraId="364F2307" w14:textId="77777777" w:rsidR="00F3526B" w:rsidRPr="00DD145B" w:rsidRDefault="00F3526B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Training Iterations</w:t>
            </w:r>
          </w:p>
        </w:tc>
        <w:tc>
          <w:tcPr>
            <w:tcW w:w="2700" w:type="dxa"/>
            <w:vAlign w:val="center"/>
          </w:tcPr>
          <w:p w14:paraId="14FF94B1" w14:textId="77777777" w:rsidR="00F3526B" w:rsidRPr="00DD145B" w:rsidRDefault="00F3526B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CEM500K-moco pre-trained with benchmark data</w:t>
            </w:r>
          </w:p>
        </w:tc>
        <w:tc>
          <w:tcPr>
            <w:tcW w:w="2707" w:type="dxa"/>
            <w:vAlign w:val="center"/>
          </w:tcPr>
          <w:p w14:paraId="2BF81947" w14:textId="77777777" w:rsidR="00F3526B" w:rsidRPr="00DD145B" w:rsidRDefault="00F3526B" w:rsidP="005A6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CEM500K-moco pre-trained without benchmark data</w:t>
            </w:r>
          </w:p>
        </w:tc>
      </w:tr>
      <w:tr w:rsidR="00F3526B" w14:paraId="545EF95D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435186FE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All Mitochondria</w:t>
            </w:r>
          </w:p>
        </w:tc>
        <w:tc>
          <w:tcPr>
            <w:tcW w:w="1535" w:type="dxa"/>
            <w:shd w:val="clear" w:color="auto" w:fill="auto"/>
          </w:tcPr>
          <w:p w14:paraId="29B4A2E7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700" w:type="dxa"/>
            <w:shd w:val="clear" w:color="auto" w:fill="auto"/>
          </w:tcPr>
          <w:p w14:paraId="11DA4F96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0.770</w:t>
            </w:r>
          </w:p>
        </w:tc>
        <w:tc>
          <w:tcPr>
            <w:tcW w:w="2707" w:type="dxa"/>
            <w:shd w:val="clear" w:color="auto" w:fill="auto"/>
          </w:tcPr>
          <w:p w14:paraId="7F2BF4E5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0.740</w:t>
            </w:r>
          </w:p>
        </w:tc>
      </w:tr>
      <w:tr w:rsidR="00F3526B" w14:paraId="224D298D" w14:textId="77777777" w:rsidTr="005A65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5A914E82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CREMI Synaptic Clefts</w:t>
            </w:r>
          </w:p>
        </w:tc>
        <w:tc>
          <w:tcPr>
            <w:tcW w:w="1535" w:type="dxa"/>
            <w:shd w:val="clear" w:color="auto" w:fill="auto"/>
          </w:tcPr>
          <w:p w14:paraId="137DB662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700" w:type="dxa"/>
            <w:shd w:val="clear" w:color="auto" w:fill="auto"/>
          </w:tcPr>
          <w:p w14:paraId="58CA8951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0.254</w:t>
            </w:r>
          </w:p>
        </w:tc>
        <w:tc>
          <w:tcPr>
            <w:tcW w:w="2707" w:type="dxa"/>
            <w:shd w:val="clear" w:color="auto" w:fill="auto"/>
          </w:tcPr>
          <w:p w14:paraId="6D02DFB6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0.238</w:t>
            </w:r>
          </w:p>
        </w:tc>
      </w:tr>
      <w:tr w:rsidR="00F3526B" w14:paraId="25C1F4D4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053FD760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proofErr w:type="spellStart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Guay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7D36267C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00" w:type="dxa"/>
            <w:shd w:val="clear" w:color="auto" w:fill="auto"/>
          </w:tcPr>
          <w:p w14:paraId="216F4E1F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0.429</w:t>
            </w:r>
          </w:p>
        </w:tc>
        <w:tc>
          <w:tcPr>
            <w:tcW w:w="2707" w:type="dxa"/>
            <w:shd w:val="clear" w:color="auto" w:fill="auto"/>
          </w:tcPr>
          <w:p w14:paraId="4614C477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0.427</w:t>
            </w:r>
          </w:p>
        </w:tc>
      </w:tr>
      <w:tr w:rsidR="00F3526B" w14:paraId="2387355E" w14:textId="77777777" w:rsidTr="005A65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CDA3C90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proofErr w:type="spellStart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Kasthuri</w:t>
            </w:r>
            <w:proofErr w:type="spellEnd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++</w:t>
            </w:r>
          </w:p>
        </w:tc>
        <w:tc>
          <w:tcPr>
            <w:tcW w:w="1535" w:type="dxa"/>
            <w:shd w:val="clear" w:color="auto" w:fill="auto"/>
          </w:tcPr>
          <w:p w14:paraId="7B522817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700" w:type="dxa"/>
            <w:shd w:val="clear" w:color="auto" w:fill="auto"/>
          </w:tcPr>
          <w:p w14:paraId="19D8FB03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0.915</w:t>
            </w:r>
          </w:p>
        </w:tc>
        <w:tc>
          <w:tcPr>
            <w:tcW w:w="2707" w:type="dxa"/>
            <w:shd w:val="clear" w:color="auto" w:fill="auto"/>
          </w:tcPr>
          <w:p w14:paraId="342250EC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0.913</w:t>
            </w:r>
          </w:p>
        </w:tc>
      </w:tr>
      <w:tr w:rsidR="00F3526B" w14:paraId="5A01A9D4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15172381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proofErr w:type="spellStart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Lucchi</w:t>
            </w:r>
            <w:proofErr w:type="spellEnd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++</w:t>
            </w:r>
          </w:p>
        </w:tc>
        <w:tc>
          <w:tcPr>
            <w:tcW w:w="1535" w:type="dxa"/>
            <w:shd w:val="clear" w:color="auto" w:fill="auto"/>
          </w:tcPr>
          <w:p w14:paraId="33B9C2DD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700" w:type="dxa"/>
            <w:shd w:val="clear" w:color="auto" w:fill="auto"/>
          </w:tcPr>
          <w:p w14:paraId="78755832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2707" w:type="dxa"/>
            <w:shd w:val="clear" w:color="auto" w:fill="auto"/>
          </w:tcPr>
          <w:p w14:paraId="48C5740B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0.903</w:t>
            </w:r>
          </w:p>
        </w:tc>
      </w:tr>
      <w:tr w:rsidR="00F3526B" w14:paraId="369AB2B7" w14:textId="77777777" w:rsidTr="005A65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0CDD1012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Pere</w:t>
            </w:r>
            <w:r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z</w:t>
            </w:r>
          </w:p>
        </w:tc>
        <w:tc>
          <w:tcPr>
            <w:tcW w:w="1535" w:type="dxa"/>
            <w:shd w:val="clear" w:color="auto" w:fill="auto"/>
          </w:tcPr>
          <w:p w14:paraId="17BE4527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700" w:type="dxa"/>
            <w:shd w:val="clear" w:color="auto" w:fill="auto"/>
          </w:tcPr>
          <w:p w14:paraId="796FAEFF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2707" w:type="dxa"/>
            <w:shd w:val="clear" w:color="auto" w:fill="auto"/>
          </w:tcPr>
          <w:p w14:paraId="4C9977EE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0.902</w:t>
            </w:r>
          </w:p>
        </w:tc>
      </w:tr>
      <w:tr w:rsidR="00F3526B" w14:paraId="1F55B316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67C6D45E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 xml:space="preserve">     Lysosomes</w:t>
            </w:r>
          </w:p>
        </w:tc>
        <w:tc>
          <w:tcPr>
            <w:tcW w:w="1535" w:type="dxa"/>
            <w:shd w:val="clear" w:color="auto" w:fill="auto"/>
          </w:tcPr>
          <w:p w14:paraId="51CE1BB3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700" w:type="dxa"/>
            <w:shd w:val="clear" w:color="auto" w:fill="auto"/>
          </w:tcPr>
          <w:p w14:paraId="6B097E09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0.849</w:t>
            </w:r>
          </w:p>
        </w:tc>
        <w:tc>
          <w:tcPr>
            <w:tcW w:w="2707" w:type="dxa"/>
            <w:shd w:val="clear" w:color="auto" w:fill="auto"/>
          </w:tcPr>
          <w:p w14:paraId="66352191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0.848</w:t>
            </w:r>
          </w:p>
        </w:tc>
      </w:tr>
      <w:tr w:rsidR="00F3526B" w14:paraId="551DB24B" w14:textId="77777777" w:rsidTr="005A65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35C40CB0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 xml:space="preserve">     Mitochondria</w:t>
            </w:r>
          </w:p>
        </w:tc>
        <w:tc>
          <w:tcPr>
            <w:tcW w:w="1535" w:type="dxa"/>
            <w:shd w:val="clear" w:color="auto" w:fill="auto"/>
          </w:tcPr>
          <w:p w14:paraId="3D279088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700" w:type="dxa"/>
            <w:shd w:val="clear" w:color="auto" w:fill="auto"/>
          </w:tcPr>
          <w:p w14:paraId="31E08E05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0.884</w:t>
            </w:r>
          </w:p>
        </w:tc>
        <w:tc>
          <w:tcPr>
            <w:tcW w:w="2707" w:type="dxa"/>
            <w:shd w:val="clear" w:color="auto" w:fill="auto"/>
          </w:tcPr>
          <w:p w14:paraId="0EB51CC7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0.881</w:t>
            </w:r>
          </w:p>
        </w:tc>
      </w:tr>
      <w:tr w:rsidR="00F3526B" w14:paraId="4C1808BA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6F4DC355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 xml:space="preserve">     Nuclei</w:t>
            </w:r>
          </w:p>
        </w:tc>
        <w:tc>
          <w:tcPr>
            <w:tcW w:w="1535" w:type="dxa"/>
            <w:shd w:val="clear" w:color="auto" w:fill="auto"/>
          </w:tcPr>
          <w:p w14:paraId="154B76CA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700" w:type="dxa"/>
            <w:shd w:val="clear" w:color="auto" w:fill="auto"/>
          </w:tcPr>
          <w:p w14:paraId="0B18CDDF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0.988</w:t>
            </w:r>
          </w:p>
        </w:tc>
        <w:tc>
          <w:tcPr>
            <w:tcW w:w="2707" w:type="dxa"/>
            <w:shd w:val="clear" w:color="auto" w:fill="auto"/>
          </w:tcPr>
          <w:p w14:paraId="519E971D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0.985</w:t>
            </w:r>
          </w:p>
        </w:tc>
      </w:tr>
      <w:tr w:rsidR="00F3526B" w14:paraId="67F4626B" w14:textId="77777777" w:rsidTr="005A65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5113B590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 xml:space="preserve">     Nucleoli</w:t>
            </w:r>
          </w:p>
        </w:tc>
        <w:tc>
          <w:tcPr>
            <w:tcW w:w="1535" w:type="dxa"/>
            <w:shd w:val="clear" w:color="auto" w:fill="auto"/>
          </w:tcPr>
          <w:p w14:paraId="7C294806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700" w:type="dxa"/>
            <w:shd w:val="clear" w:color="auto" w:fill="auto"/>
          </w:tcPr>
          <w:p w14:paraId="56BD11E7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2707" w:type="dxa"/>
            <w:shd w:val="clear" w:color="auto" w:fill="auto"/>
          </w:tcPr>
          <w:p w14:paraId="2E64B159" w14:textId="77777777" w:rsidR="00F3526B" w:rsidRPr="00DD145B" w:rsidRDefault="00F3526B" w:rsidP="005A6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0.894</w:t>
            </w:r>
          </w:p>
        </w:tc>
      </w:tr>
      <w:tr w:rsidR="00F3526B" w14:paraId="6FEFB902" w14:textId="77777777" w:rsidTr="005A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center"/>
          </w:tcPr>
          <w:p w14:paraId="2570A0D4" w14:textId="77777777" w:rsidR="00F3526B" w:rsidRPr="00DD145B" w:rsidRDefault="00F3526B" w:rsidP="005A65DF">
            <w:pPr>
              <w:jc w:val="left"/>
              <w:rPr>
                <w:rFonts w:ascii="Times" w:hAnsi="Times" w:cs="Arial"/>
                <w:i w:val="0"/>
                <w:iCs w:val="0"/>
                <w:sz w:val="20"/>
                <w:szCs w:val="20"/>
              </w:rPr>
            </w:pPr>
            <w:proofErr w:type="spellStart"/>
            <w:r w:rsidRPr="00DD145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UroCell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6CD6A574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700" w:type="dxa"/>
            <w:shd w:val="clear" w:color="auto" w:fill="auto"/>
          </w:tcPr>
          <w:p w14:paraId="01963513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2707" w:type="dxa"/>
            <w:shd w:val="clear" w:color="auto" w:fill="auto"/>
          </w:tcPr>
          <w:p w14:paraId="7A7EDCF6" w14:textId="77777777" w:rsidR="00F3526B" w:rsidRPr="00DD145B" w:rsidRDefault="00F3526B" w:rsidP="005A6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rial"/>
                <w:sz w:val="20"/>
                <w:szCs w:val="20"/>
              </w:rPr>
            </w:pPr>
            <w:r w:rsidRPr="00DD145B">
              <w:rPr>
                <w:rFonts w:ascii="Times" w:hAnsi="Times" w:cs="Arial"/>
                <w:b/>
                <w:bCs/>
                <w:color w:val="000000"/>
                <w:sz w:val="20"/>
                <w:szCs w:val="20"/>
                <w:u w:val="single"/>
              </w:rPr>
              <w:t>0.758</w:t>
            </w:r>
          </w:p>
        </w:tc>
      </w:tr>
    </w:tbl>
    <w:p w14:paraId="4DC9DCD4" w14:textId="77777777" w:rsidR="00F3526B" w:rsidRDefault="00F3526B" w:rsidP="00F3526B">
      <w:pPr>
        <w:spacing w:line="360" w:lineRule="auto"/>
        <w:rPr>
          <w:rFonts w:ascii="Times" w:hAnsi="Times"/>
        </w:rPr>
      </w:pPr>
    </w:p>
    <w:p w14:paraId="542991AC" w14:textId="1215F529" w:rsidR="00F3526B" w:rsidRDefault="00F3526B" w:rsidP="00F3526B">
      <w:pPr>
        <w:spacing w:line="360" w:lineRule="auto"/>
        <w:rPr>
          <w:rFonts w:ascii="Times" w:hAnsi="Times"/>
        </w:rPr>
      </w:pPr>
      <w:r>
        <w:rPr>
          <w:rFonts w:ascii="Times" w:hAnsi="Times"/>
          <w:b/>
        </w:rPr>
        <w:t xml:space="preserve">Supplementary </w:t>
      </w:r>
      <w:r w:rsidR="00183928">
        <w:rPr>
          <w:rFonts w:ascii="Times" w:hAnsi="Times"/>
          <w:b/>
        </w:rPr>
        <w:t>File</w:t>
      </w:r>
      <w:r>
        <w:rPr>
          <w:rFonts w:ascii="Times" w:hAnsi="Times"/>
          <w:b/>
        </w:rPr>
        <w:t xml:space="preserve"> 2: </w:t>
      </w:r>
      <w:r>
        <w:rPr>
          <w:rFonts w:ascii="Times" w:hAnsi="Times"/>
        </w:rPr>
        <w:t xml:space="preserve">Comparison of segmentation </w:t>
      </w:r>
      <w:proofErr w:type="spellStart"/>
      <w:r w:rsidRPr="00C76FC3">
        <w:rPr>
          <w:rFonts w:ascii="Times" w:hAnsi="Times"/>
        </w:rPr>
        <w:t>IoU</w:t>
      </w:r>
      <w:proofErr w:type="spellEnd"/>
      <w:r w:rsidRPr="00C76FC3">
        <w:rPr>
          <w:rFonts w:ascii="Times" w:hAnsi="Times"/>
        </w:rPr>
        <w:t xml:space="preserve"> results for benchmark</w:t>
      </w:r>
      <w:r>
        <w:rPr>
          <w:rFonts w:ascii="Times" w:hAnsi="Times"/>
        </w:rPr>
        <w:t xml:space="preserve"> datasets from models </w:t>
      </w:r>
      <w:r w:rsidRPr="1135FD91">
        <w:rPr>
          <w:rFonts w:ascii="Times" w:hAnsi="Times"/>
        </w:rPr>
        <w:t>pre</w:t>
      </w:r>
      <w:r>
        <w:rPr>
          <w:rFonts w:ascii="Times" w:hAnsi="Times"/>
        </w:rPr>
        <w:t>-trained with MoCoV2 on versions of CEM500K that either included or excluded images from the benchmark datasets</w:t>
      </w:r>
      <w:r w:rsidRPr="00C76FC3">
        <w:rPr>
          <w:rFonts w:ascii="Times" w:hAnsi="Times"/>
        </w:rPr>
        <w:t xml:space="preserve">. * </w:t>
      </w:r>
      <w:r>
        <w:rPr>
          <w:rFonts w:ascii="Times" w:hAnsi="Times"/>
        </w:rPr>
        <w:t>The best result for each benchmark is highlighted in bold and underlined.</w:t>
      </w:r>
    </w:p>
    <w:p w14:paraId="479EF62E" w14:textId="77777777" w:rsidR="00F7705E" w:rsidRDefault="00F7705E"/>
    <w:sectPr w:rsidR="00F7705E" w:rsidSect="0069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䬴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5E"/>
    <w:rsid w:val="000700BF"/>
    <w:rsid w:val="00096E77"/>
    <w:rsid w:val="000D61C3"/>
    <w:rsid w:val="000F1B8A"/>
    <w:rsid w:val="000F67C5"/>
    <w:rsid w:val="00127C93"/>
    <w:rsid w:val="001603FE"/>
    <w:rsid w:val="00183928"/>
    <w:rsid w:val="0019213A"/>
    <w:rsid w:val="001A4DE3"/>
    <w:rsid w:val="001B3461"/>
    <w:rsid w:val="001D3383"/>
    <w:rsid w:val="00205C71"/>
    <w:rsid w:val="0027169E"/>
    <w:rsid w:val="00275FEE"/>
    <w:rsid w:val="00325E1D"/>
    <w:rsid w:val="0035423E"/>
    <w:rsid w:val="00356317"/>
    <w:rsid w:val="003775EE"/>
    <w:rsid w:val="00382E22"/>
    <w:rsid w:val="00392099"/>
    <w:rsid w:val="003C2332"/>
    <w:rsid w:val="003D001F"/>
    <w:rsid w:val="003D6A9E"/>
    <w:rsid w:val="00422FAD"/>
    <w:rsid w:val="004377D2"/>
    <w:rsid w:val="00440E88"/>
    <w:rsid w:val="00470CA6"/>
    <w:rsid w:val="004E0088"/>
    <w:rsid w:val="004F0C97"/>
    <w:rsid w:val="00502080"/>
    <w:rsid w:val="00532F51"/>
    <w:rsid w:val="00547802"/>
    <w:rsid w:val="0055127B"/>
    <w:rsid w:val="005A47D2"/>
    <w:rsid w:val="005A4E92"/>
    <w:rsid w:val="005D7705"/>
    <w:rsid w:val="005E519A"/>
    <w:rsid w:val="006076CC"/>
    <w:rsid w:val="00646BB1"/>
    <w:rsid w:val="00694C8D"/>
    <w:rsid w:val="006C7848"/>
    <w:rsid w:val="006F5BE2"/>
    <w:rsid w:val="00762E9E"/>
    <w:rsid w:val="00790168"/>
    <w:rsid w:val="00794539"/>
    <w:rsid w:val="007E13C5"/>
    <w:rsid w:val="007E5995"/>
    <w:rsid w:val="007F35DB"/>
    <w:rsid w:val="008048DC"/>
    <w:rsid w:val="008B1007"/>
    <w:rsid w:val="008B77BB"/>
    <w:rsid w:val="008D0C3D"/>
    <w:rsid w:val="008D4FEE"/>
    <w:rsid w:val="008D5FBE"/>
    <w:rsid w:val="00923387"/>
    <w:rsid w:val="009755F7"/>
    <w:rsid w:val="00975D7E"/>
    <w:rsid w:val="009807E2"/>
    <w:rsid w:val="009959A3"/>
    <w:rsid w:val="00995DEE"/>
    <w:rsid w:val="009C46F9"/>
    <w:rsid w:val="00A138A1"/>
    <w:rsid w:val="00A20C29"/>
    <w:rsid w:val="00A358F4"/>
    <w:rsid w:val="00A42E25"/>
    <w:rsid w:val="00A44117"/>
    <w:rsid w:val="00A559FF"/>
    <w:rsid w:val="00A60547"/>
    <w:rsid w:val="00A65831"/>
    <w:rsid w:val="00A8398D"/>
    <w:rsid w:val="00AD5E68"/>
    <w:rsid w:val="00AF6DB0"/>
    <w:rsid w:val="00B22357"/>
    <w:rsid w:val="00B45552"/>
    <w:rsid w:val="00B85661"/>
    <w:rsid w:val="00B86670"/>
    <w:rsid w:val="00B94D84"/>
    <w:rsid w:val="00BA7AA5"/>
    <w:rsid w:val="00BF2EB8"/>
    <w:rsid w:val="00BF5884"/>
    <w:rsid w:val="00C262A0"/>
    <w:rsid w:val="00C44C38"/>
    <w:rsid w:val="00C65CB7"/>
    <w:rsid w:val="00C87653"/>
    <w:rsid w:val="00C9212B"/>
    <w:rsid w:val="00CC358E"/>
    <w:rsid w:val="00CE7321"/>
    <w:rsid w:val="00D37CB1"/>
    <w:rsid w:val="00D70314"/>
    <w:rsid w:val="00D71176"/>
    <w:rsid w:val="00D7267E"/>
    <w:rsid w:val="00D96033"/>
    <w:rsid w:val="00DD4956"/>
    <w:rsid w:val="00DF0CFD"/>
    <w:rsid w:val="00E0082C"/>
    <w:rsid w:val="00E021D9"/>
    <w:rsid w:val="00E301A7"/>
    <w:rsid w:val="00E34629"/>
    <w:rsid w:val="00E71CA5"/>
    <w:rsid w:val="00EB12BD"/>
    <w:rsid w:val="00EC2270"/>
    <w:rsid w:val="00EC618C"/>
    <w:rsid w:val="00EC6566"/>
    <w:rsid w:val="00F07A97"/>
    <w:rsid w:val="00F24BC1"/>
    <w:rsid w:val="00F31D69"/>
    <w:rsid w:val="00F3526B"/>
    <w:rsid w:val="00F63BD5"/>
    <w:rsid w:val="00F7513E"/>
    <w:rsid w:val="00F7705E"/>
    <w:rsid w:val="00F84592"/>
    <w:rsid w:val="00F85EA9"/>
    <w:rsid w:val="00F97712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EA4D9"/>
  <w15:chartTrackingRefBased/>
  <w15:docId w15:val="{0C6AAAF7-4A99-7C45-AA1D-41485AC7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F3526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7B0F9F696846B7E90FC5FA5FD8C2" ma:contentTypeVersion="9" ma:contentTypeDescription="Create a new document." ma:contentTypeScope="" ma:versionID="ece368f03fd00e6bbf4479d0148f2f82">
  <xsd:schema xmlns:xsd="http://www.w3.org/2001/XMLSchema" xmlns:xs="http://www.w3.org/2001/XMLSchema" xmlns:p="http://schemas.microsoft.com/office/2006/metadata/properties" xmlns:ns2="53c425e2-9ec4-4224-b6b5-f2270b4015de" xmlns:ns3="a3b269f2-1d6c-4570-b528-edbd8dc17e15" targetNamespace="http://schemas.microsoft.com/office/2006/metadata/properties" ma:root="true" ma:fieldsID="16aaf8779380cd5b6128253a3c8d7f87" ns2:_="" ns3:_="">
    <xsd:import namespace="53c425e2-9ec4-4224-b6b5-f2270b4015de"/>
    <xsd:import namespace="a3b269f2-1d6c-4570-b528-edbd8dc1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25e2-9ec4-4224-b6b5-f2270b401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269f2-1d6c-4570-b528-edbd8dc17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38A5F-50D3-43BB-93BF-6B0A5A1E96C4}"/>
</file>

<file path=customXml/itemProps2.xml><?xml version="1.0" encoding="utf-8"?>
<ds:datastoreItem xmlns:ds="http://schemas.openxmlformats.org/officeDocument/2006/customXml" ds:itemID="{7BE5D4B9-F81E-4C72-BBDF-4E4AA769EF68}"/>
</file>

<file path=customXml/itemProps3.xml><?xml version="1.0" encoding="utf-8"?>
<ds:datastoreItem xmlns:ds="http://schemas.openxmlformats.org/officeDocument/2006/customXml" ds:itemID="{769A522D-99D3-4868-9EC1-1DE325E80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Narayan, Kedar (NIH/NCI) [C]</dc:creator>
  <cp:keywords/>
  <dc:description/>
  <cp:lastModifiedBy>Conrad, Ryan (NIH/NCI) [C]</cp:lastModifiedBy>
  <cp:revision>3</cp:revision>
  <dcterms:created xsi:type="dcterms:W3CDTF">2021-03-02T16:48:00Z</dcterms:created>
  <dcterms:modified xsi:type="dcterms:W3CDTF">2021-03-11T14:57:00Z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0x01010031CE7B0F9F696846B7E90FC5FA5FD8C2</vt:lpwstr>
  </property>
</Properties>
</file>