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7" w:rsidRPr="0064661D" w:rsidRDefault="00735157" w:rsidP="00735157">
      <w:pPr>
        <w:jc w:val="left"/>
        <w:rPr>
          <w:rFonts w:ascii="TimesNewRomanPSMT" w:hAnsi="TimesNewRomanPSMT" w:hint="eastAsia"/>
          <w:color w:val="000000"/>
          <w:sz w:val="20"/>
        </w:rPr>
      </w:pPr>
      <w:bookmarkStart w:id="0" w:name="OLE_LINK92"/>
      <w:bookmarkStart w:id="1" w:name="OLE_LINK93"/>
      <w:bookmarkStart w:id="2" w:name="OLE_LINK382"/>
      <w:bookmarkStart w:id="3" w:name="OLE_LINK383"/>
      <w:bookmarkStart w:id="4" w:name="OLE_LINK423"/>
      <w:r w:rsidRPr="00C02DDF">
        <w:rPr>
          <w:rStyle w:val="fontstyle01"/>
          <w:b/>
          <w:sz w:val="20"/>
        </w:rPr>
        <w:t xml:space="preserve">Supplementary </w:t>
      </w:r>
      <w:r w:rsidR="00813C99">
        <w:rPr>
          <w:rStyle w:val="fontstyle01"/>
          <w:rFonts w:hint="eastAsia"/>
          <w:b/>
          <w:sz w:val="20"/>
        </w:rPr>
        <w:t>file 12</w:t>
      </w:r>
      <w:r w:rsidR="00C02DDF" w:rsidRPr="00C02DDF">
        <w:rPr>
          <w:rStyle w:val="fontstyle01"/>
          <w:rFonts w:hint="eastAsia"/>
          <w:b/>
          <w:sz w:val="20"/>
        </w:rPr>
        <w:t>.</w:t>
      </w:r>
      <w:r w:rsidRPr="0064661D">
        <w:rPr>
          <w:rStyle w:val="fontstyle01"/>
          <w:sz w:val="20"/>
        </w:rPr>
        <w:t xml:space="preserve"> </w:t>
      </w:r>
      <w:r w:rsidR="00C02DDF">
        <w:rPr>
          <w:rStyle w:val="fontstyle01"/>
          <w:rFonts w:hint="eastAsia"/>
          <w:sz w:val="20"/>
        </w:rPr>
        <w:t>Statistical results of reaction times</w:t>
      </w:r>
      <w:r w:rsidR="00C02DDF">
        <w:rPr>
          <w:rStyle w:val="fontstyle01"/>
          <w:sz w:val="20"/>
        </w:rPr>
        <w:t>, accuracies</w:t>
      </w:r>
      <w:r w:rsidR="00C02DDF">
        <w:rPr>
          <w:rStyle w:val="fontstyle01"/>
          <w:rFonts w:hint="eastAsia"/>
          <w:sz w:val="20"/>
        </w:rPr>
        <w:t>,</w:t>
      </w:r>
      <w:r w:rsidR="00C02DDF">
        <w:rPr>
          <w:rStyle w:val="fontstyle01"/>
          <w:sz w:val="20"/>
        </w:rPr>
        <w:t xml:space="preserve"> and</w:t>
      </w:r>
      <w:r w:rsidR="00C02DDF">
        <w:rPr>
          <w:rStyle w:val="fontstyle01"/>
          <w:rFonts w:hint="eastAsia"/>
          <w:sz w:val="20"/>
        </w:rPr>
        <w:t xml:space="preserve"> mean </w:t>
      </w:r>
      <w:r w:rsidR="00C02DDF">
        <w:rPr>
          <w:rStyle w:val="fontstyle01"/>
          <w:sz w:val="20"/>
        </w:rPr>
        <w:t>ERP</w:t>
      </w:r>
      <w:r w:rsidRPr="0064661D">
        <w:rPr>
          <w:rStyle w:val="fontstyle01"/>
          <w:sz w:val="20"/>
        </w:rPr>
        <w:t xml:space="preserve"> ampli</w:t>
      </w:r>
      <w:r w:rsidR="007A7C02">
        <w:rPr>
          <w:rStyle w:val="fontstyle01"/>
          <w:sz w:val="20"/>
        </w:rPr>
        <w:t>tude</w:t>
      </w:r>
      <w:r w:rsidR="00C02DDF">
        <w:rPr>
          <w:rStyle w:val="fontstyle01"/>
          <w:rFonts w:hint="eastAsia"/>
          <w:sz w:val="20"/>
        </w:rPr>
        <w:t>s</w:t>
      </w:r>
      <w:r w:rsidR="007A7C02">
        <w:rPr>
          <w:rStyle w:val="fontstyle01"/>
          <w:sz w:val="20"/>
        </w:rPr>
        <w:t xml:space="preserve"> (mean ± SD) in Experiment 5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51"/>
        <w:gridCol w:w="98"/>
        <w:gridCol w:w="1177"/>
        <w:gridCol w:w="495"/>
        <w:gridCol w:w="781"/>
        <w:gridCol w:w="473"/>
        <w:gridCol w:w="236"/>
        <w:gridCol w:w="1134"/>
        <w:gridCol w:w="1276"/>
        <w:gridCol w:w="1417"/>
      </w:tblGrid>
      <w:tr w:rsidR="00735157" w:rsidRPr="0064661D" w:rsidTr="00EA6F4B">
        <w:trPr>
          <w:trHeight w:hRule="exact" w:val="477"/>
        </w:trPr>
        <w:tc>
          <w:tcPr>
            <w:tcW w:w="2333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20"/>
                <w:szCs w:val="18"/>
              </w:rPr>
              <w:t>Patient</w:t>
            </w: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20"/>
                <w:szCs w:val="18"/>
              </w:rPr>
              <w:t>Actor</w:t>
            </w:r>
            <w:r>
              <w:rPr>
                <w:rStyle w:val="fontstyle01"/>
                <w:b/>
                <w:sz w:val="20"/>
                <w:szCs w:val="18"/>
              </w:rPr>
              <w:t>/Actress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b/>
                <w:sz w:val="20"/>
                <w:szCs w:val="18"/>
              </w:rPr>
              <w:t>Neutral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20"/>
                <w:szCs w:val="18"/>
              </w:rPr>
              <w:t>Pain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b/>
                <w:sz w:val="20"/>
                <w:szCs w:val="18"/>
              </w:rPr>
              <w:t>Neutral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20"/>
                <w:szCs w:val="18"/>
              </w:rPr>
              <w:t>Pain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b/>
                <w:sz w:val="18"/>
                <w:szCs w:val="18"/>
              </w:rPr>
              <w:t>RT (ms)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633±69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637±65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652±72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660±69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87±11.5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86±10.7</w:t>
            </w:r>
          </w:p>
        </w:tc>
        <w:tc>
          <w:tcPr>
            <w:tcW w:w="23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87±10.5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83±13.9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>N1 amplitude</w:t>
            </w:r>
            <w:r w:rsidRPr="0064661D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64661D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64661D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-</w:t>
            </w: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3.183±1.57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-</w:t>
            </w: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3.055±1.38</w:t>
            </w:r>
          </w:p>
        </w:tc>
        <w:tc>
          <w:tcPr>
            <w:tcW w:w="23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-</w:t>
            </w: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3.003±1.54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-</w:t>
            </w: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3.330±1.44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>P2 amplitude</w:t>
            </w:r>
            <w:r w:rsidRPr="0064661D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64661D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64661D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3.043±3.70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3.978±4.00</w:t>
            </w:r>
          </w:p>
        </w:tc>
        <w:tc>
          <w:tcPr>
            <w:tcW w:w="23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3.219±3.81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3.311±4.13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>P3</w:t>
            </w:r>
            <w:r w:rsidR="0041712A">
              <w:rPr>
                <w:rStyle w:val="fontstyle01"/>
                <w:b/>
                <w:sz w:val="18"/>
                <w:szCs w:val="18"/>
              </w:rPr>
              <w:t>10</w:t>
            </w: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 xml:space="preserve"> amplitude</w:t>
            </w:r>
            <w:r w:rsidRPr="0064661D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64661D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64661D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1.454±3.72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2.244±3.47</w:t>
            </w:r>
          </w:p>
        </w:tc>
        <w:tc>
          <w:tcPr>
            <w:tcW w:w="23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1.818±3.57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2.198±3.25</w:t>
            </w:r>
          </w:p>
        </w:tc>
      </w:tr>
      <w:tr w:rsidR="00735157" w:rsidRPr="0064661D" w:rsidTr="00EA6F4B">
        <w:trPr>
          <w:trHeight w:hRule="exact" w:val="344"/>
        </w:trPr>
        <w:tc>
          <w:tcPr>
            <w:tcW w:w="233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>P</w:t>
            </w:r>
            <w:r w:rsidR="0041712A">
              <w:rPr>
                <w:rStyle w:val="fontstyle01"/>
                <w:b/>
                <w:sz w:val="18"/>
                <w:szCs w:val="18"/>
              </w:rPr>
              <w:t>570</w:t>
            </w:r>
            <w:r w:rsidRPr="0064661D">
              <w:rPr>
                <w:rStyle w:val="fontstyle01"/>
                <w:rFonts w:hint="eastAsia"/>
                <w:b/>
                <w:sz w:val="18"/>
                <w:szCs w:val="18"/>
              </w:rPr>
              <w:t xml:space="preserve"> amplitude</w:t>
            </w:r>
            <w:r w:rsidRPr="0064661D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64661D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64661D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4.224±2.28</w:t>
            </w:r>
          </w:p>
        </w:tc>
        <w:tc>
          <w:tcPr>
            <w:tcW w:w="125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4.569±2.40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4.103±2.02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64661D">
              <w:rPr>
                <w:rFonts w:ascii="TimesNewRomanPSMT" w:hAnsi="TimesNewRomanPSMT"/>
                <w:color w:val="000000"/>
                <w:sz w:val="18"/>
                <w:szCs w:val="18"/>
              </w:rPr>
              <w:t>4.302±1.93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402"/>
        </w:trPr>
        <w:tc>
          <w:tcPr>
            <w:tcW w:w="13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4394" w:type="dxa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Simple effect (</w:t>
            </w: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  <w:r w:rsidRPr="0064661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Condition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b/>
                <w:sz w:val="18"/>
                <w:szCs w:val="18"/>
              </w:rPr>
              <w:t>Identity * Condition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Patient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Actor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/Actress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735157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394985">
              <w:rPr>
                <w:rStyle w:val="fontstyle01"/>
                <w:b/>
                <w:sz w:val="18"/>
                <w:szCs w:val="18"/>
              </w:rPr>
              <w:t xml:space="preserve">RT </w:t>
            </w:r>
          </w:p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394985">
              <w:rPr>
                <w:rStyle w:val="fontstyle01"/>
                <w:b/>
                <w:sz w:val="18"/>
                <w:szCs w:val="18"/>
              </w:rPr>
              <w:t>(ms)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23.988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3.243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0.401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0.082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0.531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0.453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0.101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0.014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0.600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(0, 0.280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(0, 0.141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394985">
              <w:rPr>
                <w:rStyle w:val="fontstyle01"/>
                <w:b/>
                <w:sz w:val="18"/>
                <w:szCs w:val="18"/>
              </w:rPr>
              <w:t xml:space="preserve">Accuracy </w:t>
            </w:r>
          </w:p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394985">
              <w:rPr>
                <w:rStyle w:val="fontstyle01"/>
                <w:b/>
                <w:sz w:val="18"/>
                <w:szCs w:val="18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1.669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9.449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3.983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0.207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0.005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0.055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0.246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0.121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(0, 0.219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(0.050, 0.429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, 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Default="00735157" w:rsidP="00EA6F4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394985">
              <w:rPr>
                <w:rStyle w:val="fontstyle01"/>
                <w:rFonts w:hint="eastAsia"/>
                <w:b/>
                <w:sz w:val="18"/>
                <w:szCs w:val="18"/>
              </w:rPr>
              <w:t>N1</w:t>
            </w:r>
          </w:p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Style w:val="fontstyle01"/>
                <w:b/>
                <w:sz w:val="18"/>
                <w:szCs w:val="18"/>
              </w:rPr>
              <w:t>(95-115ms)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0.541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3.834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0.724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0.468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0.060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0.117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(0, 0.103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(0, 0.154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(0, 0.300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Style w:val="fontstyle01"/>
                <w:rFonts w:hint="eastAsia"/>
                <w:b/>
                <w:sz w:val="18"/>
                <w:szCs w:val="18"/>
              </w:rPr>
              <w:t>P2</w:t>
            </w:r>
            <w:r w:rsidRPr="00394985">
              <w:rPr>
                <w:rStyle w:val="fontstyle01"/>
                <w:b/>
                <w:sz w:val="18"/>
                <w:szCs w:val="18"/>
              </w:rPr>
              <w:t xml:space="preserve"> (175-195ms)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4.614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11.983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9.494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17.409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0.270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27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417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0.607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0.137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0.292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0.247</w:t>
            </w:r>
          </w:p>
        </w:tc>
        <w:tc>
          <w:tcPr>
            <w:tcW w:w="1276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0.375</w:t>
            </w:r>
          </w:p>
        </w:tc>
        <w:tc>
          <w:tcPr>
            <w:tcW w:w="1417" w:type="dxa"/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0.009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(0.003, 0.322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(0.079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, 0.470)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(0.050, 0.429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(0.142, 0.539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(0, 0.127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Style w:val="fontstyle01"/>
                <w:rFonts w:hint="eastAsia"/>
                <w:b/>
                <w:sz w:val="18"/>
                <w:szCs w:val="18"/>
              </w:rPr>
              <w:t>P3</w:t>
            </w:r>
            <w:r w:rsidR="0041712A">
              <w:rPr>
                <w:rStyle w:val="fontstyle01"/>
                <w:b/>
                <w:sz w:val="18"/>
                <w:szCs w:val="18"/>
              </w:rPr>
              <w:t>10</w:t>
            </w:r>
            <w:r w:rsidRPr="00394985">
              <w:rPr>
                <w:rStyle w:val="fontstyle01"/>
                <w:b/>
                <w:sz w:val="18"/>
                <w:szCs w:val="18"/>
              </w:rPr>
              <w:t xml:space="preserve"> (280-340ms)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1.021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22.976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1.651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0.209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0.442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0.054</w:t>
            </w:r>
          </w:p>
        </w:tc>
        <w:tc>
          <w:tcPr>
            <w:tcW w:w="2693" w:type="dxa"/>
            <w:gridSpan w:val="2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(0, 0.186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(0.204, 0.592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0, 0.218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Style w:val="fontstyle01"/>
                <w:rFonts w:hint="eastAsia"/>
                <w:b/>
                <w:sz w:val="18"/>
                <w:szCs w:val="18"/>
              </w:rPr>
              <w:t>P</w:t>
            </w:r>
            <w:r w:rsidR="0041712A">
              <w:rPr>
                <w:rStyle w:val="fontstyle01"/>
                <w:b/>
                <w:sz w:val="18"/>
                <w:szCs w:val="18"/>
              </w:rPr>
              <w:t>570 (500-7</w:t>
            </w:r>
            <w:bookmarkStart w:id="5" w:name="_GoBack"/>
            <w:bookmarkEnd w:id="5"/>
            <w:r w:rsidRPr="00394985">
              <w:rPr>
                <w:rStyle w:val="fontstyle01"/>
                <w:b/>
                <w:sz w:val="18"/>
                <w:szCs w:val="18"/>
              </w:rPr>
              <w:t>00ms)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1.039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5.094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0.362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0.317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0.032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0.552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39498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0.149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0.012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  <w:tr w:rsidR="00735157" w:rsidRPr="0064661D" w:rsidTr="00EA6F4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44"/>
        </w:trPr>
        <w:tc>
          <w:tcPr>
            <w:tcW w:w="138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394985" w:rsidRDefault="00735157" w:rsidP="00EA6F4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8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187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(0.007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335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138</w:t>
            </w:r>
            <w:r w:rsidRPr="006466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5157" w:rsidRPr="0064661D" w:rsidRDefault="00735157" w:rsidP="00EA6F4B">
            <w:pPr>
              <w:widowControl/>
              <w:jc w:val="left"/>
            </w:pPr>
          </w:p>
        </w:tc>
      </w:tr>
    </w:tbl>
    <w:p w:rsidR="00B808A9" w:rsidRDefault="00735157" w:rsidP="00B24756">
      <w:pPr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 w:rsidRPr="000D3284">
        <w:rPr>
          <w:rFonts w:ascii="Times New Roman" w:hAnsi="Times New Roman" w:cs="Times New Roman"/>
          <w:sz w:val="20"/>
        </w:rPr>
        <w:t>eta-squared value.</w:t>
      </w:r>
      <w:r>
        <w:rPr>
          <w:rFonts w:ascii="Times New Roman" w:hAnsi="Times New Roman" w:cs="Times New Roman"/>
          <w:sz w:val="20"/>
        </w:rPr>
        <w:t xml:space="preserve"> </w:t>
      </w:r>
      <w:bookmarkEnd w:id="0"/>
      <w:bookmarkEnd w:id="1"/>
      <w:bookmarkEnd w:id="2"/>
      <w:bookmarkEnd w:id="3"/>
      <w:bookmarkEnd w:id="4"/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BD" w:rsidRDefault="006523BD" w:rsidP="004A7540">
      <w:r>
        <w:separator/>
      </w:r>
    </w:p>
  </w:endnote>
  <w:endnote w:type="continuationSeparator" w:id="0">
    <w:p w:rsidR="006523BD" w:rsidRDefault="006523BD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607208">
        <w:pPr>
          <w:pStyle w:val="a5"/>
          <w:jc w:val="right"/>
        </w:pPr>
        <w:r w:rsidRPr="00607208">
          <w:fldChar w:fldCharType="begin"/>
        </w:r>
        <w:r w:rsidR="009015D7">
          <w:instrText xml:space="preserve"> PAGE   \* MERGEFORMAT </w:instrText>
        </w:r>
        <w:r w:rsidRPr="00607208">
          <w:fldChar w:fldCharType="separate"/>
        </w:r>
        <w:r w:rsidR="00B24756" w:rsidRPr="00B247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BD" w:rsidRDefault="006523BD" w:rsidP="004A7540">
      <w:r>
        <w:separator/>
      </w:r>
    </w:p>
  </w:footnote>
  <w:footnote w:type="continuationSeparator" w:id="0">
    <w:p w:rsidR="006523BD" w:rsidRDefault="006523BD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324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166D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07208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3B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B7ADB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24756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858E5B7-E9AB-442F-BA91-6557697D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2021-07-28T04:50:00Z</dcterms:modified>
</cp:coreProperties>
</file>