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elvetica" w:cs="Helvetica" w:eastAsia="Helvetica" w:hAnsi="Helvetica"/>
          <w:b w:val="1"/>
        </w:rPr>
      </w:pPr>
      <w:r w:rsidDel="00000000" w:rsidR="00000000" w:rsidRPr="00000000">
        <w:rPr>
          <w:rFonts w:ascii="Helvetica" w:cs="Helvetica" w:eastAsia="Helvetica" w:hAnsi="Helvetica"/>
          <w:b w:val="1"/>
          <w:rtl w:val="0"/>
        </w:rPr>
        <w:t xml:space="preserve">Supplementary File 1a: Sample metadata</w:t>
      </w:r>
    </w:p>
    <w:tbl>
      <w:tblPr>
        <w:tblStyle w:val="Table1"/>
        <w:tblW w:w="12960.0" w:type="dxa"/>
        <w:jc w:val="left"/>
        <w:tblInd w:w="2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1740"/>
        <w:gridCol w:w="1155"/>
        <w:gridCol w:w="930"/>
        <w:gridCol w:w="1275"/>
        <w:gridCol w:w="1020"/>
        <w:gridCol w:w="1245"/>
        <w:gridCol w:w="1050"/>
        <w:gridCol w:w="1440"/>
        <w:tblGridChange w:id="0">
          <w:tblGrid>
            <w:gridCol w:w="3105"/>
            <w:gridCol w:w="1740"/>
            <w:gridCol w:w="1155"/>
            <w:gridCol w:w="930"/>
            <w:gridCol w:w="1275"/>
            <w:gridCol w:w="1020"/>
            <w:gridCol w:w="1245"/>
            <w:gridCol w:w="1050"/>
            <w:gridCol w:w="1440"/>
          </w:tblGrid>
        </w:tblGridChange>
      </w:tblGrid>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S</w:t>
            </w:r>
            <w:r w:rsidDel="00000000" w:rsidR="00000000" w:rsidRPr="00000000">
              <w:rPr>
                <w:rFonts w:ascii="Helvetica" w:cs="Helvetica" w:eastAsia="Helvetica" w:hAnsi="Helvetica"/>
                <w:rtl w:val="0"/>
              </w:rPr>
              <w:t xml:space="preserve">train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w:t>
            </w:r>
            <w:r w:rsidDel="00000000" w:rsidR="00000000" w:rsidRPr="00000000">
              <w:rPr>
                <w:rFonts w:ascii="Helvetica" w:cs="Helvetica" w:eastAsia="Helvetica" w:hAnsi="Helvetica"/>
                <w:rtl w:val="0"/>
              </w:rPr>
              <w:t xml:space="preserve">ollection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S</w:t>
            </w:r>
            <w:r w:rsidDel="00000000" w:rsidR="00000000" w:rsidRPr="00000000">
              <w:rPr>
                <w:rFonts w:ascii="Helvetica" w:cs="Helvetica" w:eastAsia="Helvetica" w:hAnsi="Helvetica"/>
                <w:rtl w:val="0"/>
              </w:rPr>
              <w:t xml:space="preserve">ample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w:t>
            </w:r>
            <w:r w:rsidDel="00000000" w:rsidR="00000000" w:rsidRPr="00000000">
              <w:rPr>
                <w:rFonts w:ascii="Helvetica" w:cs="Helvetica" w:eastAsia="Helvetica" w:hAnsi="Helvetica"/>
                <w:rtl w:val="0"/>
              </w:rPr>
              <w:t xml:space="preserve">ountry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 state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Mumps </w:t>
            </w:r>
            <w:r w:rsidDel="00000000" w:rsidR="00000000" w:rsidRPr="00000000">
              <w:rPr>
                <w:rFonts w:ascii="Helvetica" w:cs="Helvetica" w:eastAsia="Helvetica" w:hAnsi="Helvetica"/>
                <w:rtl w:val="0"/>
              </w:rPr>
              <w:t xml:space="preserve">genotype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V</w:t>
            </w:r>
            <w:r w:rsidDel="00000000" w:rsidR="00000000" w:rsidRPr="00000000">
              <w:rPr>
                <w:rFonts w:ascii="Helvetica" w:cs="Helvetica" w:eastAsia="Helvetica" w:hAnsi="Helvetica"/>
                <w:rtl w:val="0"/>
              </w:rPr>
              <w:t xml:space="preserve">accination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Cycle threshold (</w:t>
            </w:r>
            <w:r w:rsidDel="00000000" w:rsidR="00000000" w:rsidRPr="00000000">
              <w:rPr>
                <w:rFonts w:ascii="Helvetica" w:cs="Helvetica" w:eastAsia="Helvetica" w:hAnsi="Helvetica"/>
                <w:rtl w:val="0"/>
              </w:rPr>
              <w:t xml:space="preserv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Genome coverage</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MuVs/Washington.USA/48.16/FH1[G]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0.91</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MuVs/Washington.USA/50.16/FH2[G]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MuVs/Washington.USA/50.16/FH3[G]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28.53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MuVs/Washington.USA/50.16/FH4[G]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32.87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26.61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MuVs/Washington.USA/5.17/FH10[G]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26.72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MuVs/Washington.USA/5.17/FH11[G]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MuVs/Washington.USA/6.17/FH12[G]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MuVs/Washington.USA/6.17/FH13[G]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MuVs/Washington.USA/6.17/FH14[G]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MuVs/Washington.USA/7.17/FH15[G]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MuVs/Washington.USA/9.17/FH16[G]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MuVs/Washington.USA/8.17/FH17[G]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28.83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MuVs/Washington.USA/9.17/FH18[G]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31.84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MuVs/Washington.USA/8.17/FH19[G]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MuVs/Washington.USA/15.17/FH20[G]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MuVs/Washington.USA/2.17/FH21[G]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MuVs/Washington.USA/2.17/FH22[G]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31.09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MuVs/Washington.USA/2.17/FH23[G]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25.61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MuVs/Washington.USA/3.17/FH24[G]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21.89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MuVs/Washington.USA/3.17/FH25[G]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MuVs/Washington.USA/2.17/FH26[G]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MuVs/Washington.USA/5.17/FH27[G]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24.53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MuVs/Washington.USA/52.16/FH28[G]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MuVs/Washington.USA/1.17/FH29[G]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MuVs/Washington.USA/5.17/FH30[G]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MuVs/Washington.USA/9.17/FH31[G]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34.94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MuVs/Washington.USA/30.17/FH32[G]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2017-07-25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21.88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MuVs/Washington.USA/50.16/FH33[G]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23.94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MuVs/Washington.USA/12.17/FH34[G]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MuVs/Washington.USA/12.17/FH35[G]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MuVs/Washington.USA/16.17/FH36[G]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MuVs/Washington.USA/17.17/FH37[G]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25.71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MuVs/Washington.USA/17.17/FH38[G]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26.45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MuVs/Washington.USA/17.17/FH39[G]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26.69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MuVs/Washington.USA/17.17/FH40[G]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21.78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MuVs/Washington.USA/51.16/FH41[G]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23.56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MuVs/Washington.USA/9.17/FH42[G]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MuVs/Washington.USA/10.17/FH43[G]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MuVs/Washington.USA/19.17/FH44[G]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MuVs/Washington.USA/49.16/FH45[G]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MuVs/Washington.USA/51.16/FH46[G]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25.69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MuVs/Washington.USA/2.17/FH47[G]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MuVs/Washington.USA/4.17/FH48[G]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MuVs/Washington.USA/4.17/FH49[G]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31.31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MuVs/Washington.USA/5.17/FH50[G]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31.14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MuVs/Washington.USA/6.17/FH51[G]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MuVs/Washington.USA/10.17/FH52[G]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23.76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MuVs/Washington.USA/19.17/FH53[G]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MuVs/Washington.USA/2.17/FH54[G]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MuVs/Washington.USA/49.16/FH55[G]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nasopharyngeal/throat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28.39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MuVs/Washington.USA/11.17/FH56[G]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MuVs/Washington.USA/12.17/FH57[G]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32.79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MuVs/Washington.USA/2.17/FH58[G]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MuVs/Washington.USA/3.17/FH59[G]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MuVs/Washington.USA/4.17/FH60[G]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26.87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MuVs/Washington.USA/7.17/FH61[G]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MuVs/Washington.USA/3.17/FH62[G]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26.99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MuVs/Washington.USA/16.17/FH63[G]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0.99</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MuVs/Washington.USA/50.16/FH64[G]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34.54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MuVs/Washington.USA/1.17/FH65[G]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28.53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MuVs/Washington.USA/2.17/FH66[G]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MuVs/Washington.USA/3.17/FH67[G]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29.70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MuVs/Washington.USA/4.17/FH68[G]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MuVs/Washington.USA/21.17/FH69[G]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22.46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MuVs/Washington.USA/4.17/FH70[G]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MuVs/Washington.USA/4.17/FH71[G]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25.92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MuVs/Washington.USA/5.17/FH72[G]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22.74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MuVs/Washington.USA/20.17/FH73[G]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MuVs/Washington.USA/22.17/FH74[G]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28.84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MuVs/Washington.USA/52.16/FH75[G]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MuVs/Washington.USA/12.17/FH76[G]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MuVs/Washington.USA/1.17/FH77[G]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34.73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MuVs/Washington.USA/12.17/FH78[G]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MuVs/Washington.USA/16.17/FH79[G]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27.44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MuVs/Washington.USA/19.17/FH80[G]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MuVs/Washington.USA/20.17/FH81[G]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27.85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MuVs/Washington.USA/20.17/FH82[G]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MuVs/Washington.USA/29.17/FH83[G]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2017-07-26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MuVs/Washington.USA/2.17/FH84[G]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MuVs/Wisconsin.USA/16.14/FH85[G]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MuVs/Wisconsin.USA/20.14/FH86[G]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0.58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MuVs/Wisconsin.USA/15.06/FH87[H]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0.53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MuVs/Missouri.USA/32.16/FH88[G]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MuVs/Wisconsin.USA/15.17/FH89[G]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MuVs/Alabama.USA/11.17/FH90[G]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Alabama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MuVs/Wisconsin.USA/15.06/FH91[A]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0.71</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MuVs/Alabama.USA/19.17/FH92[G]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Alabama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MuVs/Wisconsin.USA/37.06/FH93[G]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0.69</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MuVs/Washington.USA/9.17/FH94[K]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MuVs/Washington.USA/11.17/FH95[G]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28.52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MuVs/Washington.USA/11.17/FH96[G]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36.91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MuVs/Washington.USA/12.17/FH97[G]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35.13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MuVs/Washington.USA/14.17/FH98[G]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MuVs/Wisconsin.USA/41.06/FH99[G]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MuVs/Washington.USA/19.17/FH100[G]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29.44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MuVs/Missouri.USA/28.17/FH101[G]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MuVs/Ohio.USA/2.18/FH102[G]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2018-01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MuVs/Washington.USA/4.17/FH103[G]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0.56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MuVs/Washington.USA/5.17/FH104[G]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31.96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0.74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MuVs/Washington.USA/6.17/FH105[G]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36.53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MuVs/Washington.USA/7.17/FH106[G]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27.98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0.67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MuVs/Wisconsin.USA/7.07/FH107[G]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MuVs/Wisconsin.USA/11.07/FH108[G]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MuVs/Wisconsin.USA/11.07/FH109[G]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MuVs/Wisconsin.USA/16.14/FH110[G]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MuVs/Wisconsin.USA/20.14/FH111[G]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MuVs/Wisconsin.USA/24.14/FH112[G]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MuVs/Wisconsin.USA/29.14/FH113[G]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2014-07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3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MuVs/Missouri.USA/29.15/FH114[G]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MuVs/Wisconsin.USA/42.15/FH115[G]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MuVs/Wisconsin.USA/42.15/FH116[G]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MuVs/Wisconsin.USA/46.15/FH117[G]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MuVs/Wisconsin.USA/2.16/FH118[G]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0.91</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MuVs/Ohio.USA/19.16/FH119[G]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MuVs/Wisconsin.USA/24.16/FH120[G]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0.89</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MuVs/Wisconsin.USA/19.16/FH121[G]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MuVs/Missouri.USA/41.16/FH122[G]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MuVs/Missouri.USA/46.16/FH123[G]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MuVs/Missouri.USA/46.16/FH124[G]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MuVs/Missouri.USA/50.16/FH125[G]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MuVs/Wisconsin.USA/50.16/FH126[G]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MuVs/Missouri.USA/2.17/FH127[G]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MuVs/Ohio.USA/2.17/FH128[G]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MuVs/Missouri.USA/7.17/FH129[G]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MuVs/Ohio.USA/7.17/FH130[G]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0.89</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MuVs/Wisconsin.USA/15.06/FH131[G]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0.81</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MuVs/Ohio.USA/11.17/FH132[G]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MuVs/Missouri.USA/11.17/FH133[G]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MuVs/Missouri.USA/15.17/FH134[G]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MuVs/Missouri.USA/15.17/FH135[G]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MuVs/NorthCarolina.USA/11.17/FH136[G]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NorthCarolina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MuVs/Wisconsin.USA/15.17/FH137[G]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MuVs/Missouri.USA/15.17/FH138[G]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MuVs/Alabama.USA/15.17/FH139[G]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Alabama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0.83</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MuVs/Missouri.USA/19.17/FH140[G]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MuVs/Wisconsin.USA/19.17/FH141[G]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4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MuVs/Washington.USA/8.17/FH142[G]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MuVs/Washington.USA/11.17/FH143[G]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MuVs/Washington.USA/12.17/FH144[G]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2017-03-27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29.66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MuVs/Washington.USA/14.17/FH145[G]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21.45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0.91</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MuVs/Washington.USA/15.17/FH146[G]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MuVs/Washington.USA/18.17/FH147[G]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MuVs/Washington.USA/20.17/FH148[G]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2017-05-24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26.59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3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MuVs/Washington.USA/23.17/FH149[G]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2017-06-11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MuVs/Washington.USA/23.17/FH150[G]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2017-06-12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MuVs/Washington.USA/28.17/FH151[G]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2017-07-12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0.88</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MuVs/Washington.USA/16.17/FH152[G]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2017-04-17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27.41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MuVs/Wisconsin.USA/41.06/FH153[G]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MuVs/Wisconsin.USA/7.07/FH154[G]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6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MuVs/Missouri.USA/33.17/FH155[G]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MuVs/Alabama.USA/50.17/FH156[G]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7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Alabama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MuVs/Ohio.USA/46.17/FH157[G]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Ohio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8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MuVs/Washington.USA/49.16/FH158[G]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2016-12-11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30.55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MuVs/Wisconsin.USA/28.06/FH159[G]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2006-07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9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0.84</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MuVs/Washington.USA/1.17/FH160[G]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0.87</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MuVs/Washington.USA/5.17/FH161[G]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2017-01-31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A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0.92</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MuVs/Washington.USA/5.17/FH162[G]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MuVs/Wisconsin.USA/51.15/FH163[G]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2015-12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B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Wisconsin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MuVs/Alabama.USA/7.17/FH164[G]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Alabama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0.80</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C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MuVs/Missouri.USA/24.17/FH165[G]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Missouri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0.86</w:t>
            </w:r>
          </w:p>
        </w:tc>
      </w:tr>
      <w:t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MuVs/Washington.USA/7.17/FH166[G]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2017-02-19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Buccal Swab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Washington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D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27.96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5E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0.85</w:t>
            </w:r>
          </w:p>
        </w:tc>
      </w:tr>
    </w:tbl>
    <w:p w:rsidR="00000000" w:rsidDel="00000000" w:rsidP="00000000" w:rsidRDefault="00000000" w:rsidRPr="00000000" w14:paraId="000005E1">
      <w:pPr>
        <w:rPr>
          <w:rFonts w:ascii="Helvetica" w:cs="Helvetica" w:eastAsia="Helvetica" w:hAnsi="Helvetica"/>
        </w:rPr>
      </w:pPr>
      <w:r w:rsidDel="00000000" w:rsidR="00000000" w:rsidRPr="00000000">
        <w:rPr>
          <w:rtl w:val="0"/>
        </w:rPr>
      </w:r>
    </w:p>
    <w:p w:rsidR="00000000" w:rsidDel="00000000" w:rsidP="00000000" w:rsidRDefault="00000000" w:rsidRPr="00000000" w14:paraId="000005E2">
      <w:pPr>
        <w:rPr>
          <w:rFonts w:ascii="Helvetica" w:cs="Helvetica" w:eastAsia="Helvetica" w:hAnsi="Helvetica"/>
        </w:rPr>
      </w:pPr>
      <w:r w:rsidDel="00000000" w:rsidR="00000000" w:rsidRPr="00000000">
        <w:rPr>
          <w:rFonts w:ascii="Helvetica" w:cs="Helvetica" w:eastAsia="Helvetica" w:hAnsi="Helvetica"/>
          <w:rtl w:val="0"/>
        </w:rPr>
        <w:t xml:space="preserve">All genomes generated for this analysis are described above. Dates are formatted as Year-month-day. Vaccination status, Ct, and sample collection type are all available for the Washington samples. Genome coverage represents the total proportion of bases in the genome with at least 20x coverage for which we were able to call a base. Sites with &lt;20x coverage were labelled as Ns. Only samples with at least 50% non-N bases were included in the analysis. </w:t>
      </w:r>
    </w:p>
    <w:p w:rsidR="00000000" w:rsidDel="00000000" w:rsidP="00000000" w:rsidRDefault="00000000" w:rsidRPr="00000000" w14:paraId="000005E3">
      <w:pPr>
        <w:rPr>
          <w:rFonts w:ascii="Helvetica" w:cs="Helvetica" w:eastAsia="Helvetica" w:hAnsi="Helvetica"/>
        </w:rPr>
      </w:pPr>
      <w:r w:rsidDel="00000000" w:rsidR="00000000" w:rsidRPr="00000000">
        <w:rPr>
          <w:rtl w:val="0"/>
        </w:rPr>
      </w:r>
    </w:p>
    <w:p w:rsidR="00000000" w:rsidDel="00000000" w:rsidP="00000000" w:rsidRDefault="00000000" w:rsidRPr="00000000" w14:paraId="000005E4">
      <w:pPr>
        <w:rPr>
          <w:rFonts w:ascii="Helvetica" w:cs="Helvetica" w:eastAsia="Helvetica" w:hAnsi="Helvetica"/>
        </w:rPr>
      </w:pPr>
      <w:r w:rsidDel="00000000" w:rsidR="00000000" w:rsidRPr="00000000">
        <w:rPr>
          <w:rtl w:val="0"/>
        </w:rPr>
      </w:r>
    </w:p>
    <w:p w:rsidR="00000000" w:rsidDel="00000000" w:rsidP="00000000" w:rsidRDefault="00000000" w:rsidRPr="00000000" w14:paraId="000005E5">
      <w:pPr>
        <w:rPr>
          <w:rFonts w:ascii="Helvetica" w:cs="Helvetica" w:eastAsia="Helvetica" w:hAnsi="Helvetica"/>
          <w:b w:val="1"/>
        </w:rPr>
      </w:pPr>
      <w:r w:rsidDel="00000000" w:rsidR="00000000" w:rsidRPr="00000000">
        <w:rPr>
          <w:rFonts w:ascii="Helvetica" w:cs="Helvetica" w:eastAsia="Helvetica" w:hAnsi="Helvetica"/>
          <w:b w:val="1"/>
          <w:rtl w:val="0"/>
        </w:rPr>
        <w:t xml:space="preserve">Supplementary File 1b: Mumps cases by age group</w:t>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1.4285714285713"/>
        <w:gridCol w:w="1851.4285714285713"/>
        <w:gridCol w:w="1851.4285714285713"/>
        <w:gridCol w:w="1851.4285714285713"/>
        <w:gridCol w:w="1851.4285714285713"/>
        <w:gridCol w:w="1851.4285714285713"/>
        <w:gridCol w:w="1851.4285714285713"/>
        <w:tblGridChange w:id="0">
          <w:tblGrid>
            <w:gridCol w:w="1851.4285714285713"/>
            <w:gridCol w:w="1851.4285714285713"/>
            <w:gridCol w:w="1851.4285714285713"/>
            <w:gridCol w:w="1851.4285714285713"/>
            <w:gridCol w:w="1851.4285714285713"/>
            <w:gridCol w:w="1851.4285714285713"/>
            <w:gridCol w:w="1851.4285714285713"/>
          </w:tblGrid>
        </w:tblGridChange>
      </w:tblGrid>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Age group</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Mumps case count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2016-2017 average population in Washington</w:t>
            </w:r>
            <w:hyperlink r:id="rId6">
              <w:r w:rsidDel="00000000" w:rsidR="00000000" w:rsidRPr="00000000">
                <w:rPr>
                  <w:rFonts w:ascii="Helvetica" w:cs="Helvetica" w:eastAsia="Helvetica" w:hAnsi="Helvetica"/>
                  <w:vertAlign w:val="superscript"/>
                  <w:rtl w:val="0"/>
                </w:rPr>
                <w:t xml:space="preserve">1</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Rate of cases per 100,000 individuals</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Percentage of total cases</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Counts in dataset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Percentage of dataset</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0 - 4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E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450,847</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7.5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3.8%</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8</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7.2%</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5 - 9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462,951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11.7%</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8.2%</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10 - 14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198</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5F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451,485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43.9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5F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22.3%</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25.5%</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15 - 19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214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455,612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47.0</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24.1%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12.7%</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20 - 39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256</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0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1,980,004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12.9</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28.8%</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37</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0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33.6%</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40 - 64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80</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2,348,529.5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10.0%</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13</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11.8%</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65+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1,097,571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0.22%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61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0.9%</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1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2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NA</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2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NA</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2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0.11%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2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62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0%</w:t>
            </w:r>
          </w:p>
        </w:tc>
      </w:tr>
    </w:tbl>
    <w:p w:rsidR="00000000" w:rsidDel="00000000" w:rsidP="00000000" w:rsidRDefault="00000000" w:rsidRPr="00000000" w14:paraId="00000625">
      <w:pPr>
        <w:rPr>
          <w:rFonts w:ascii="Helvetica" w:cs="Helvetica" w:eastAsia="Helvetica" w:hAnsi="Helvetica"/>
        </w:rPr>
      </w:pPr>
      <w:r w:rsidDel="00000000" w:rsidR="00000000" w:rsidRPr="00000000">
        <w:rPr>
          <w:rtl w:val="0"/>
        </w:rPr>
      </w:r>
    </w:p>
    <w:p w:rsidR="00000000" w:rsidDel="00000000" w:rsidP="00000000" w:rsidRDefault="00000000" w:rsidRPr="00000000" w14:paraId="00000626">
      <w:pPr>
        <w:rPr>
          <w:rFonts w:ascii="Helvetica" w:cs="Helvetica" w:eastAsia="Helvetica" w:hAnsi="Helvetica"/>
        </w:rPr>
      </w:pPr>
      <w:r w:rsidDel="00000000" w:rsidR="00000000" w:rsidRPr="00000000">
        <w:rPr>
          <w:rtl w:val="0"/>
        </w:rPr>
      </w:r>
    </w:p>
    <w:p w:rsidR="00000000" w:rsidDel="00000000" w:rsidP="00000000" w:rsidRDefault="00000000" w:rsidRPr="00000000" w14:paraId="00000627">
      <w:pPr>
        <w:rPr>
          <w:rFonts w:ascii="Helvetica" w:cs="Helvetica" w:eastAsia="Helvetica" w:hAnsi="Helvetica"/>
          <w:b w:val="1"/>
        </w:rPr>
      </w:pPr>
      <w:r w:rsidDel="00000000" w:rsidR="00000000" w:rsidRPr="00000000">
        <w:rPr>
          <w:rFonts w:ascii="Helvetica" w:cs="Helvetica" w:eastAsia="Helvetica" w:hAnsi="Helvetica"/>
          <w:b w:val="1"/>
          <w:rtl w:val="0"/>
        </w:rPr>
        <w:t xml:space="preserve">Supplementary File 1c: Outbreak characteristic and dataset composition</w:t>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628">
            <w:pPr>
              <w:widowControl w:val="0"/>
              <w:spacing w:line="240" w:lineRule="auto"/>
              <w:rPr>
                <w:rFonts w:ascii="Helvetica" w:cs="Helvetica" w:eastAsia="Helvetica" w:hAnsi="Helvetic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counts in outbreak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Count in dataset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2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Up-to-date vaccination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574 (65%)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64 (58%)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2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up-to-date vaccination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86 (9.7%)</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13 (12%)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Unknown vaccination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229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 (30%)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Marshallese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465 (52%)</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57 (52%)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Marshallese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424 (48%)</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53 (48%)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A">
            <w:pPr>
              <w:widowControl w:val="0"/>
              <w:spacing w:line="240" w:lineRule="auto"/>
              <w:rPr>
                <w:rFonts w:ascii="Helvetica" w:cs="Helvetica" w:eastAsia="Helvetica" w:hAnsi="Helvetica"/>
                <w:b w:val="1"/>
              </w:rPr>
            </w:pPr>
            <w:r w:rsidDel="00000000" w:rsidR="00000000" w:rsidRPr="00000000">
              <w:rPr>
                <w:rFonts w:ascii="Helvetica" w:cs="Helvetica" w:eastAsia="Helvetica" w:hAnsi="Helvetica"/>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widowControl w:val="0"/>
              <w:spacing w:line="240" w:lineRule="auto"/>
              <w:rPr>
                <w:rFonts w:ascii="Helvetica" w:cs="Helvetica" w:eastAsia="Helvetica" w:hAnsi="Helvetica"/>
                <w:b w:val="1"/>
              </w:rPr>
            </w:pPr>
            <w:r w:rsidDel="00000000" w:rsidR="00000000" w:rsidRPr="00000000">
              <w:rPr>
                <w:rFonts w:ascii="Helvetica" w:cs="Helvetica" w:eastAsia="Helvetica" w:hAnsi="Helvetica"/>
                <w:b w:val="1"/>
                <w:rtl w:val="0"/>
              </w:rPr>
              <w:t xml:space="preserve">889</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line="240" w:lineRule="auto"/>
              <w:rPr>
                <w:rFonts w:ascii="Helvetica" w:cs="Helvetica" w:eastAsia="Helvetica" w:hAnsi="Helvetica"/>
                <w:b w:val="1"/>
              </w:rPr>
            </w:pPr>
            <w:r w:rsidDel="00000000" w:rsidR="00000000" w:rsidRPr="00000000">
              <w:rPr>
                <w:rFonts w:ascii="Helvetica" w:cs="Helvetica" w:eastAsia="Helvetica" w:hAnsi="Helvetica"/>
                <w:b w:val="1"/>
                <w:rtl w:val="0"/>
              </w:rPr>
              <w:t xml:space="preserve">110</w:t>
            </w:r>
          </w:p>
        </w:tc>
      </w:tr>
    </w:tbl>
    <w:p w:rsidR="00000000" w:rsidDel="00000000" w:rsidP="00000000" w:rsidRDefault="00000000" w:rsidRPr="00000000" w14:paraId="0000063D">
      <w:pPr>
        <w:rPr>
          <w:rFonts w:ascii="Helvetica" w:cs="Helvetica" w:eastAsia="Helvetica" w:hAnsi="Helvetica"/>
          <w:highlight w:val="white"/>
        </w:rPr>
      </w:pPr>
      <w:r w:rsidDel="00000000" w:rsidR="00000000" w:rsidRPr="00000000">
        <w:rPr>
          <w:rtl w:val="0"/>
        </w:rPr>
      </w:r>
    </w:p>
    <w:p w:rsidR="00000000" w:rsidDel="00000000" w:rsidP="00000000" w:rsidRDefault="00000000" w:rsidRPr="00000000" w14:paraId="0000063E">
      <w:pPr>
        <w:rPr>
          <w:rFonts w:ascii="Helvetica" w:cs="Helvetica" w:eastAsia="Helvetica" w:hAnsi="Helvetica"/>
        </w:rPr>
      </w:pPr>
      <w:r w:rsidDel="00000000" w:rsidR="00000000" w:rsidRPr="00000000">
        <w:rPr>
          <w:rtl w:val="0"/>
        </w:rPr>
      </w:r>
    </w:p>
    <w:p w:rsidR="00000000" w:rsidDel="00000000" w:rsidP="00000000" w:rsidRDefault="00000000" w:rsidRPr="00000000" w14:paraId="0000063F">
      <w:pPr>
        <w:rPr>
          <w:rFonts w:ascii="Helvetica" w:cs="Helvetica" w:eastAsia="Helvetica" w:hAnsi="Helvetica"/>
          <w:b w:val="1"/>
        </w:rPr>
      </w:pPr>
      <w:r w:rsidDel="00000000" w:rsidR="00000000" w:rsidRPr="00000000">
        <w:rPr>
          <w:rFonts w:ascii="Helvetica" w:cs="Helvetica" w:eastAsia="Helvetica" w:hAnsi="Helvetica"/>
          <w:b w:val="1"/>
          <w:rtl w:val="0"/>
        </w:rPr>
        <w:t xml:space="preserve">Supplementary File 1d: Raw tip counts used for divergence tree transmission metric </w:t>
      </w:r>
    </w:p>
    <w:tbl>
      <w:tblPr>
        <w:tblStyle w:val="Table4"/>
        <w:tblW w:w="73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1305"/>
        <w:gridCol w:w="1740"/>
        <w:gridCol w:w="1770"/>
        <w:tblGridChange w:id="0">
          <w:tblGrid>
            <w:gridCol w:w="2520"/>
            <w:gridCol w:w="1305"/>
            <w:gridCol w:w="1740"/>
            <w:gridCol w:w="1770"/>
          </w:tblGrid>
        </w:tblGridChange>
      </w:tblGrid>
      <w:tr>
        <w:trPr>
          <w:trHeight w:val="7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Metadata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Total tips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Tips labeled as basal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Tips labeled as terminal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4">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Vaccination not up-to-date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Vaccination up-to-date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4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Vaccination status unknown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0">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Age &lt; 20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651">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4">
            <w:pPr>
              <w:widowControl w:val="0"/>
              <w:spacing w:line="240" w:lineRule="auto"/>
              <w:rPr>
                <w:rFonts w:ascii="Helvetica" w:cs="Helvetica" w:eastAsia="Helvetica" w:hAnsi="Helvetica"/>
                <w:vertAlign w:val="superscript"/>
              </w:rPr>
            </w:pPr>
            <w:r w:rsidDel="00000000" w:rsidR="00000000" w:rsidRPr="00000000">
              <w:rPr>
                <w:rFonts w:ascii="Helvetica" w:cs="Helvetica" w:eastAsia="Helvetica" w:hAnsi="Helvetica"/>
                <w:rtl w:val="0"/>
              </w:rPr>
              <w:t xml:space="preserve">Age ≥ 20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8">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Marshallese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Not Marshallese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rFonts w:ascii="Helvetica" w:cs="Helvetica" w:eastAsia="Helvetica" w:hAnsi="Helvetica"/>
              </w:rPr>
            </w:pPr>
            <w:r w:rsidDel="00000000" w:rsidR="00000000" w:rsidRPr="00000000">
              <w:rPr>
                <w:rFonts w:ascii="Helvetica" w:cs="Helvetica" w:eastAsia="Helvetica" w:hAnsi="Helvetica"/>
                <w:rtl w:val="0"/>
              </w:rPr>
              <w:t xml:space="preserve">38</w:t>
            </w:r>
          </w:p>
        </w:tc>
      </w:tr>
    </w:tbl>
    <w:p w:rsidR="00000000" w:rsidDel="00000000" w:rsidP="00000000" w:rsidRDefault="00000000" w:rsidRPr="00000000" w14:paraId="00000660">
      <w:pPr>
        <w:rPr>
          <w:rFonts w:ascii="Helvetica" w:cs="Helvetica" w:eastAsia="Helvetica" w:hAnsi="Helvetica"/>
          <w:b w:val="1"/>
        </w:rPr>
      </w:pPr>
      <w:r w:rsidDel="00000000" w:rsidR="00000000" w:rsidRPr="00000000">
        <w:rPr>
          <w:rtl w:val="0"/>
        </w:rPr>
      </w:r>
    </w:p>
    <w:p w:rsidR="00000000" w:rsidDel="00000000" w:rsidP="00000000" w:rsidRDefault="00000000" w:rsidRPr="00000000" w14:paraId="00000661">
      <w:pPr>
        <w:rPr>
          <w:rFonts w:ascii="Helvetica" w:cs="Helvetica" w:eastAsia="Helvetica" w:hAnsi="Helvetica"/>
          <w:b w:val="1"/>
        </w:rPr>
      </w:pPr>
      <w:r w:rsidDel="00000000" w:rsidR="00000000" w:rsidRPr="00000000">
        <w:rPr>
          <w:rtl w:val="0"/>
        </w:rPr>
      </w:r>
    </w:p>
    <w:p w:rsidR="00000000" w:rsidDel="00000000" w:rsidP="00000000" w:rsidRDefault="00000000" w:rsidRPr="00000000" w14:paraId="00000662">
      <w:pPr>
        <w:rPr>
          <w:rFonts w:ascii="Helvetica" w:cs="Helvetica" w:eastAsia="Helvetica" w:hAnsi="Helvetica"/>
          <w:b w:val="1"/>
        </w:rPr>
      </w:pPr>
      <w:r w:rsidDel="00000000" w:rsidR="00000000" w:rsidRPr="00000000">
        <w:rPr>
          <w:rtl w:val="0"/>
        </w:rPr>
      </w:r>
    </w:p>
    <w:p w:rsidR="00000000" w:rsidDel="00000000" w:rsidP="00000000" w:rsidRDefault="00000000" w:rsidRPr="00000000" w14:paraId="00000663">
      <w:pPr>
        <w:rPr>
          <w:rFonts w:ascii="Helvetica" w:cs="Helvetica" w:eastAsia="Helvetica" w:hAnsi="Helvetica"/>
          <w:b w:val="1"/>
        </w:rPr>
      </w:pPr>
      <w:r w:rsidDel="00000000" w:rsidR="00000000" w:rsidRPr="00000000">
        <w:rPr>
          <w:rFonts w:ascii="Helvetica" w:cs="Helvetica" w:eastAsia="Helvetica" w:hAnsi="Helvetica"/>
          <w:b w:val="1"/>
          <w:rtl w:val="0"/>
        </w:rPr>
        <w:t xml:space="preserve">Supplementary References</w:t>
      </w:r>
    </w:p>
    <w:p w:rsidR="00000000" w:rsidDel="00000000" w:rsidP="00000000" w:rsidRDefault="00000000" w:rsidRPr="00000000" w14:paraId="00000664">
      <w:pPr>
        <w:widowControl w:val="0"/>
        <w:spacing w:after="220" w:before="220" w:line="480" w:lineRule="auto"/>
        <w:ind w:left="440"/>
        <w:rPr>
          <w:rFonts w:ascii="Helvetica" w:cs="Helvetica" w:eastAsia="Helvetica" w:hAnsi="Helvetica"/>
        </w:rPr>
      </w:pPr>
      <w:r w:rsidDel="00000000" w:rsidR="00000000" w:rsidRPr="00000000">
        <w:rPr>
          <w:rFonts w:ascii="Helvetica" w:cs="Helvetica" w:eastAsia="Helvetica" w:hAnsi="Helvetica"/>
          <w:rtl w:val="0"/>
        </w:rPr>
        <w:t xml:space="preserve">1.</w:t>
        <w:tab/>
      </w:r>
      <w:hyperlink r:id="rId7">
        <w:r w:rsidDel="00000000" w:rsidR="00000000" w:rsidRPr="00000000">
          <w:rPr>
            <w:rFonts w:ascii="Helvetica" w:cs="Helvetica" w:eastAsia="Helvetica" w:hAnsi="Helvetica"/>
            <w:rtl w:val="0"/>
          </w:rPr>
          <w:t xml:space="preserve">Estimates of April 1 population by age, sex, race and Hispanic origin. </w:t>
        </w:r>
      </w:hyperlink>
      <w:hyperlink r:id="rId8">
        <w:r w:rsidDel="00000000" w:rsidR="00000000" w:rsidRPr="00000000">
          <w:rPr>
            <w:rFonts w:ascii="Helvetica" w:cs="Helvetica" w:eastAsia="Helvetica" w:hAnsi="Helvetica"/>
            <w:rtl w:val="0"/>
          </w:rPr>
          <w:t xml:space="preserve">https://www.ofm.wa.gov/washington-data-research/population-demographics/population-estimates/estimates-april-1-population-age-sex-race-and-hispanic-origin</w:t>
        </w:r>
      </w:hyperlink>
      <w:hyperlink r:id="rId9">
        <w:r w:rsidDel="00000000" w:rsidR="00000000" w:rsidRPr="00000000">
          <w:rPr>
            <w:rFonts w:ascii="Helvetica" w:cs="Helvetica" w:eastAsia="Helvetica" w:hAnsi="Helvetica"/>
            <w:rtl w:val="0"/>
          </w:rPr>
          <w:t xml:space="preserve">.</w:t>
        </w:r>
      </w:hyperlink>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aperpile.com/b/q8Le2r/SyGh" TargetMode="External"/><Relationship Id="rId5" Type="http://schemas.openxmlformats.org/officeDocument/2006/relationships/styles" Target="styles.xml"/><Relationship Id="rId6" Type="http://schemas.openxmlformats.org/officeDocument/2006/relationships/hyperlink" Target="https://paperpile.com/c/q8Le2r/SyGh" TargetMode="External"/><Relationship Id="rId7" Type="http://schemas.openxmlformats.org/officeDocument/2006/relationships/hyperlink" Target="http://paperpile.com/b/q8Le2r/SyGh" TargetMode="External"/><Relationship Id="rId8" Type="http://schemas.openxmlformats.org/officeDocument/2006/relationships/hyperlink" Target="https://www.ofm.wa.gov/washington-data-research/population-demographics/population-estimates/estimates-april-1-population-age-sex-race-and-hispanic-ori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