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664"/>
        <w:gridCol w:w="664"/>
        <w:gridCol w:w="664"/>
        <w:gridCol w:w="664"/>
        <w:gridCol w:w="610"/>
      </w:tblGrid>
      <w:tr w:rsidR="00AE7274" w14:paraId="621A479F" w14:textId="77777777">
        <w:trPr>
          <w:trHeight w:val="338"/>
        </w:trPr>
        <w:tc>
          <w:tcPr>
            <w:tcW w:w="2194" w:type="dxa"/>
          </w:tcPr>
          <w:p w14:paraId="017D3D5C" w14:textId="77777777" w:rsidR="00AE7274" w:rsidRDefault="00301B1E">
            <w:pPr>
              <w:pStyle w:val="TableParagraph"/>
              <w:spacing w:before="1"/>
              <w:ind w:left="80"/>
            </w:pPr>
            <w:r>
              <w:t>New</w:t>
            </w:r>
            <w:r>
              <w:rPr>
                <w:spacing w:val="-15"/>
              </w:rPr>
              <w:t xml:space="preserve"> </w:t>
            </w:r>
            <w:r>
              <w:t>York</w:t>
            </w:r>
            <w:r>
              <w:rPr>
                <w:spacing w:val="-15"/>
              </w:rPr>
              <w:t xml:space="preserve"> </w:t>
            </w:r>
            <w:r>
              <w:t>City</w:t>
            </w:r>
          </w:p>
        </w:tc>
        <w:tc>
          <w:tcPr>
            <w:tcW w:w="664" w:type="dxa"/>
          </w:tcPr>
          <w:p w14:paraId="3CA7AA2B" w14:textId="77777777" w:rsidR="00AE7274" w:rsidRDefault="00301B1E">
            <w:pPr>
              <w:pStyle w:val="TableParagraph"/>
              <w:spacing w:before="1"/>
              <w:ind w:left="134"/>
            </w:pPr>
            <w:r>
              <w:rPr>
                <w:w w:val="99"/>
              </w:rPr>
              <w:t>A</w:t>
            </w:r>
          </w:p>
        </w:tc>
        <w:tc>
          <w:tcPr>
            <w:tcW w:w="664" w:type="dxa"/>
          </w:tcPr>
          <w:p w14:paraId="073812DC" w14:textId="77777777" w:rsidR="00AE7274" w:rsidRDefault="00301B1E">
            <w:pPr>
              <w:pStyle w:val="TableParagraph"/>
              <w:spacing w:before="1"/>
              <w:ind w:left="134"/>
            </w:pPr>
            <w:r>
              <w:rPr>
                <w:w w:val="99"/>
              </w:rPr>
              <w:t>B</w:t>
            </w:r>
          </w:p>
        </w:tc>
        <w:tc>
          <w:tcPr>
            <w:tcW w:w="664" w:type="dxa"/>
          </w:tcPr>
          <w:p w14:paraId="0D383BB2" w14:textId="77777777" w:rsidR="00AE7274" w:rsidRDefault="00301B1E">
            <w:pPr>
              <w:pStyle w:val="TableParagraph"/>
              <w:spacing w:before="1"/>
              <w:ind w:left="134"/>
            </w:pPr>
            <w:r>
              <w:rPr>
                <w:w w:val="99"/>
              </w:rPr>
              <w:t>C</w:t>
            </w:r>
          </w:p>
        </w:tc>
        <w:tc>
          <w:tcPr>
            <w:tcW w:w="664" w:type="dxa"/>
          </w:tcPr>
          <w:p w14:paraId="4156D0DD" w14:textId="77777777" w:rsidR="00AE7274" w:rsidRDefault="00301B1E">
            <w:pPr>
              <w:pStyle w:val="TableParagraph"/>
              <w:spacing w:before="1"/>
              <w:ind w:left="133"/>
            </w:pPr>
            <w:r>
              <w:rPr>
                <w:w w:val="99"/>
              </w:rPr>
              <w:t>D</w:t>
            </w:r>
          </w:p>
        </w:tc>
        <w:tc>
          <w:tcPr>
            <w:tcW w:w="610" w:type="dxa"/>
          </w:tcPr>
          <w:p w14:paraId="3A9786C7" w14:textId="77777777" w:rsidR="00AE7274" w:rsidRDefault="00301B1E">
            <w:pPr>
              <w:pStyle w:val="TableParagraph"/>
              <w:spacing w:before="1"/>
              <w:ind w:left="133"/>
            </w:pPr>
            <w:r>
              <w:rPr>
                <w:w w:val="99"/>
              </w:rPr>
              <w:t>E</w:t>
            </w:r>
          </w:p>
        </w:tc>
      </w:tr>
      <w:tr w:rsidR="00AE7274" w14:paraId="1ECD1810" w14:textId="77777777">
        <w:trPr>
          <w:trHeight w:val="406"/>
        </w:trPr>
        <w:tc>
          <w:tcPr>
            <w:tcW w:w="2194" w:type="dxa"/>
          </w:tcPr>
          <w:p w14:paraId="253A9BF8" w14:textId="77777777" w:rsidR="00AE7274" w:rsidRDefault="00301B1E">
            <w:pPr>
              <w:pStyle w:val="TableParagraph"/>
              <w:ind w:left="80"/>
            </w:pPr>
            <w:r>
              <w:t>Proportionate</w:t>
            </w:r>
            <w:r>
              <w:rPr>
                <w:spacing w:val="-5"/>
              </w:rPr>
              <w:t xml:space="preserve"> </w:t>
            </w:r>
            <w:r>
              <w:t>mixing</w:t>
            </w:r>
          </w:p>
        </w:tc>
        <w:tc>
          <w:tcPr>
            <w:tcW w:w="664" w:type="dxa"/>
          </w:tcPr>
          <w:p w14:paraId="547E4093" w14:textId="77777777" w:rsidR="00AE7274" w:rsidRDefault="00301B1E">
            <w:pPr>
              <w:pStyle w:val="TableParagraph"/>
              <w:ind w:left="134"/>
            </w:pPr>
            <w:r>
              <w:t>1.00</w:t>
            </w:r>
          </w:p>
        </w:tc>
        <w:tc>
          <w:tcPr>
            <w:tcW w:w="664" w:type="dxa"/>
          </w:tcPr>
          <w:p w14:paraId="0A802C2F" w14:textId="77777777" w:rsidR="00AE7274" w:rsidRDefault="00301B1E">
            <w:pPr>
              <w:pStyle w:val="TableParagraph"/>
              <w:ind w:left="134"/>
            </w:pPr>
            <w:r>
              <w:t>2.25</w:t>
            </w:r>
          </w:p>
        </w:tc>
        <w:tc>
          <w:tcPr>
            <w:tcW w:w="664" w:type="dxa"/>
          </w:tcPr>
          <w:p w14:paraId="722BC650" w14:textId="77777777" w:rsidR="00AE7274" w:rsidRDefault="00301B1E">
            <w:pPr>
              <w:pStyle w:val="TableParagraph"/>
              <w:ind w:left="134"/>
            </w:pPr>
            <w:r>
              <w:t>1.62</w:t>
            </w:r>
          </w:p>
        </w:tc>
        <w:tc>
          <w:tcPr>
            <w:tcW w:w="664" w:type="dxa"/>
          </w:tcPr>
          <w:p w14:paraId="1463D098" w14:textId="77777777" w:rsidR="00AE7274" w:rsidRDefault="00301B1E">
            <w:pPr>
              <w:pStyle w:val="TableParagraph"/>
              <w:ind w:left="133"/>
            </w:pPr>
            <w:r>
              <w:t>0.86</w:t>
            </w:r>
          </w:p>
        </w:tc>
        <w:tc>
          <w:tcPr>
            <w:tcW w:w="610" w:type="dxa"/>
          </w:tcPr>
          <w:p w14:paraId="54460F7D" w14:textId="77777777" w:rsidR="00AE7274" w:rsidRDefault="00301B1E">
            <w:pPr>
              <w:pStyle w:val="TableParagraph"/>
              <w:ind w:left="133"/>
            </w:pPr>
            <w:r>
              <w:t>1.28</w:t>
            </w:r>
          </w:p>
        </w:tc>
      </w:tr>
      <w:tr w:rsidR="00AE7274" w14:paraId="6439216E" w14:textId="77777777">
        <w:trPr>
          <w:trHeight w:val="484"/>
        </w:trPr>
        <w:tc>
          <w:tcPr>
            <w:tcW w:w="2194" w:type="dxa"/>
          </w:tcPr>
          <w:p w14:paraId="3D20D5A2" w14:textId="77777777" w:rsidR="00AE7274" w:rsidRDefault="00301B1E">
            <w:pPr>
              <w:pStyle w:val="TableParagraph"/>
              <w:ind w:left="80"/>
            </w:pPr>
            <w:r>
              <w:t>Census</w:t>
            </w:r>
            <w:r>
              <w:rPr>
                <w:spacing w:val="-7"/>
              </w:rPr>
              <w:t xml:space="preserve"> </w:t>
            </w:r>
            <w:r>
              <w:t>model</w:t>
            </w:r>
          </w:p>
        </w:tc>
        <w:tc>
          <w:tcPr>
            <w:tcW w:w="664" w:type="dxa"/>
          </w:tcPr>
          <w:p w14:paraId="2FB08E0E" w14:textId="77777777" w:rsidR="00AE7274" w:rsidRDefault="00301B1E">
            <w:pPr>
              <w:pStyle w:val="TableParagraph"/>
              <w:ind w:left="134"/>
            </w:pPr>
            <w:r>
              <w:t>1.00</w:t>
            </w:r>
          </w:p>
        </w:tc>
        <w:tc>
          <w:tcPr>
            <w:tcW w:w="664" w:type="dxa"/>
          </w:tcPr>
          <w:p w14:paraId="23467FA3" w14:textId="77777777" w:rsidR="00AE7274" w:rsidRDefault="00301B1E">
            <w:pPr>
              <w:pStyle w:val="TableParagraph"/>
              <w:ind w:left="134"/>
            </w:pPr>
            <w:r>
              <w:t>1.62</w:t>
            </w:r>
          </w:p>
        </w:tc>
        <w:tc>
          <w:tcPr>
            <w:tcW w:w="664" w:type="dxa"/>
          </w:tcPr>
          <w:p w14:paraId="629B4DCE" w14:textId="77777777" w:rsidR="00AE7274" w:rsidRDefault="00301B1E">
            <w:pPr>
              <w:pStyle w:val="TableParagraph"/>
              <w:ind w:left="134"/>
            </w:pPr>
            <w:r>
              <w:t>1.35</w:t>
            </w:r>
          </w:p>
        </w:tc>
        <w:tc>
          <w:tcPr>
            <w:tcW w:w="664" w:type="dxa"/>
          </w:tcPr>
          <w:p w14:paraId="7B04BD83" w14:textId="77777777" w:rsidR="00AE7274" w:rsidRDefault="00301B1E">
            <w:pPr>
              <w:pStyle w:val="TableParagraph"/>
              <w:ind w:left="133"/>
            </w:pPr>
            <w:r>
              <w:t>0.90</w:t>
            </w:r>
          </w:p>
        </w:tc>
        <w:tc>
          <w:tcPr>
            <w:tcW w:w="610" w:type="dxa"/>
          </w:tcPr>
          <w:p w14:paraId="7FE73715" w14:textId="77777777" w:rsidR="00AE7274" w:rsidRDefault="00301B1E">
            <w:pPr>
              <w:pStyle w:val="TableParagraph"/>
              <w:ind w:left="133"/>
            </w:pPr>
            <w:r>
              <w:t>1.17</w:t>
            </w:r>
          </w:p>
        </w:tc>
      </w:tr>
      <w:tr w:rsidR="00AE7274" w14:paraId="1DCEAC4F" w14:textId="77777777">
        <w:trPr>
          <w:trHeight w:val="484"/>
        </w:trPr>
        <w:tc>
          <w:tcPr>
            <w:tcW w:w="2194" w:type="dxa"/>
          </w:tcPr>
          <w:p w14:paraId="7EC45C16" w14:textId="77777777" w:rsidR="00AE7274" w:rsidRDefault="00301B1E">
            <w:pPr>
              <w:pStyle w:val="TableParagraph"/>
              <w:spacing w:before="147"/>
              <w:ind w:left="50"/>
            </w:pPr>
            <w:r>
              <w:t>Long</w:t>
            </w:r>
            <w:r>
              <w:rPr>
                <w:spacing w:val="-6"/>
              </w:rPr>
              <w:t xml:space="preserve"> </w:t>
            </w:r>
            <w:r>
              <w:t>Island</w:t>
            </w:r>
          </w:p>
        </w:tc>
        <w:tc>
          <w:tcPr>
            <w:tcW w:w="664" w:type="dxa"/>
          </w:tcPr>
          <w:p w14:paraId="4E0DC41C" w14:textId="77777777" w:rsidR="00AE7274" w:rsidRDefault="00301B1E">
            <w:pPr>
              <w:pStyle w:val="TableParagraph"/>
              <w:spacing w:before="147"/>
              <w:ind w:left="104"/>
            </w:pPr>
            <w:r>
              <w:rPr>
                <w:w w:val="99"/>
              </w:rPr>
              <w:t>A</w:t>
            </w:r>
          </w:p>
        </w:tc>
        <w:tc>
          <w:tcPr>
            <w:tcW w:w="664" w:type="dxa"/>
          </w:tcPr>
          <w:p w14:paraId="0129336D" w14:textId="77777777" w:rsidR="00AE7274" w:rsidRDefault="00301B1E">
            <w:pPr>
              <w:pStyle w:val="TableParagraph"/>
              <w:spacing w:before="147"/>
              <w:ind w:left="104"/>
            </w:pPr>
            <w:r>
              <w:rPr>
                <w:w w:val="99"/>
              </w:rPr>
              <w:t>B</w:t>
            </w:r>
          </w:p>
        </w:tc>
        <w:tc>
          <w:tcPr>
            <w:tcW w:w="664" w:type="dxa"/>
          </w:tcPr>
          <w:p w14:paraId="24A69A7E" w14:textId="77777777" w:rsidR="00AE7274" w:rsidRDefault="00301B1E">
            <w:pPr>
              <w:pStyle w:val="TableParagraph"/>
              <w:spacing w:before="147"/>
            </w:pPr>
            <w:r>
              <w:rPr>
                <w:w w:val="99"/>
              </w:rPr>
              <w:t>C</w:t>
            </w:r>
          </w:p>
        </w:tc>
        <w:tc>
          <w:tcPr>
            <w:tcW w:w="664" w:type="dxa"/>
          </w:tcPr>
          <w:p w14:paraId="2681889A" w14:textId="77777777" w:rsidR="00AE7274" w:rsidRDefault="00301B1E">
            <w:pPr>
              <w:pStyle w:val="TableParagraph"/>
              <w:spacing w:before="147"/>
            </w:pPr>
            <w:r>
              <w:rPr>
                <w:w w:val="99"/>
              </w:rPr>
              <w:t>D</w:t>
            </w:r>
          </w:p>
        </w:tc>
        <w:tc>
          <w:tcPr>
            <w:tcW w:w="610" w:type="dxa"/>
          </w:tcPr>
          <w:p w14:paraId="52623D18" w14:textId="77777777" w:rsidR="00AE7274" w:rsidRDefault="00301B1E">
            <w:pPr>
              <w:pStyle w:val="TableParagraph"/>
              <w:spacing w:before="147"/>
            </w:pPr>
            <w:r>
              <w:rPr>
                <w:w w:val="99"/>
              </w:rPr>
              <w:t>E</w:t>
            </w:r>
          </w:p>
        </w:tc>
      </w:tr>
      <w:tr w:rsidR="00AE7274" w14:paraId="421DE99A" w14:textId="77777777">
        <w:trPr>
          <w:trHeight w:val="406"/>
        </w:trPr>
        <w:tc>
          <w:tcPr>
            <w:tcW w:w="2194" w:type="dxa"/>
          </w:tcPr>
          <w:p w14:paraId="1CB501C2" w14:textId="77777777" w:rsidR="00AE7274" w:rsidRDefault="00301B1E">
            <w:pPr>
              <w:pStyle w:val="TableParagraph"/>
              <w:ind w:left="50"/>
            </w:pPr>
            <w:r>
              <w:t>Proportionate</w:t>
            </w:r>
            <w:r>
              <w:rPr>
                <w:spacing w:val="-5"/>
              </w:rPr>
              <w:t xml:space="preserve"> </w:t>
            </w:r>
            <w:r>
              <w:t>mixing</w:t>
            </w:r>
          </w:p>
        </w:tc>
        <w:tc>
          <w:tcPr>
            <w:tcW w:w="664" w:type="dxa"/>
          </w:tcPr>
          <w:p w14:paraId="671125A6" w14:textId="77777777" w:rsidR="00AE7274" w:rsidRDefault="00301B1E">
            <w:pPr>
              <w:pStyle w:val="TableParagraph"/>
              <w:ind w:left="104"/>
            </w:pPr>
            <w:r>
              <w:t>1.00</w:t>
            </w:r>
          </w:p>
        </w:tc>
        <w:tc>
          <w:tcPr>
            <w:tcW w:w="664" w:type="dxa"/>
          </w:tcPr>
          <w:p w14:paraId="17DE37A9" w14:textId="77777777" w:rsidR="00AE7274" w:rsidRDefault="00301B1E">
            <w:pPr>
              <w:pStyle w:val="TableParagraph"/>
              <w:ind w:left="104"/>
            </w:pPr>
            <w:r>
              <w:t>4.31</w:t>
            </w:r>
          </w:p>
        </w:tc>
        <w:tc>
          <w:tcPr>
            <w:tcW w:w="664" w:type="dxa"/>
          </w:tcPr>
          <w:p w14:paraId="430A0684" w14:textId="77777777" w:rsidR="00AE7274" w:rsidRDefault="00301B1E">
            <w:pPr>
              <w:pStyle w:val="TableParagraph"/>
            </w:pPr>
            <w:r>
              <w:t>1.96</w:t>
            </w:r>
          </w:p>
        </w:tc>
        <w:tc>
          <w:tcPr>
            <w:tcW w:w="664" w:type="dxa"/>
          </w:tcPr>
          <w:p w14:paraId="72A8D1AA" w14:textId="77777777" w:rsidR="00AE7274" w:rsidRDefault="00301B1E">
            <w:pPr>
              <w:pStyle w:val="TableParagraph"/>
            </w:pPr>
            <w:r>
              <w:t>0.92</w:t>
            </w:r>
          </w:p>
        </w:tc>
        <w:tc>
          <w:tcPr>
            <w:tcW w:w="610" w:type="dxa"/>
          </w:tcPr>
          <w:p w14:paraId="51804D2F" w14:textId="77777777" w:rsidR="00AE7274" w:rsidRDefault="00301B1E">
            <w:pPr>
              <w:pStyle w:val="TableParagraph"/>
            </w:pPr>
            <w:r>
              <w:t>2.48</w:t>
            </w:r>
          </w:p>
        </w:tc>
      </w:tr>
      <w:tr w:rsidR="00AE7274" w14:paraId="2A6BF79B" w14:textId="77777777">
        <w:trPr>
          <w:trHeight w:val="338"/>
        </w:trPr>
        <w:tc>
          <w:tcPr>
            <w:tcW w:w="2194" w:type="dxa"/>
          </w:tcPr>
          <w:p w14:paraId="10979782" w14:textId="77777777" w:rsidR="00AE7274" w:rsidRDefault="00301B1E">
            <w:pPr>
              <w:pStyle w:val="TableParagraph"/>
              <w:spacing w:line="249" w:lineRule="exact"/>
              <w:ind w:left="50"/>
            </w:pPr>
            <w:r>
              <w:t>Census</w:t>
            </w:r>
            <w:r>
              <w:rPr>
                <w:spacing w:val="-7"/>
              </w:rPr>
              <w:t xml:space="preserve"> </w:t>
            </w:r>
            <w:r>
              <w:t>model</w:t>
            </w:r>
          </w:p>
        </w:tc>
        <w:tc>
          <w:tcPr>
            <w:tcW w:w="664" w:type="dxa"/>
          </w:tcPr>
          <w:p w14:paraId="229C128C" w14:textId="77777777" w:rsidR="00AE7274" w:rsidRDefault="00301B1E">
            <w:pPr>
              <w:pStyle w:val="TableParagraph"/>
              <w:spacing w:line="249" w:lineRule="exact"/>
              <w:ind w:left="104"/>
            </w:pPr>
            <w:r>
              <w:t>1.00</w:t>
            </w:r>
          </w:p>
        </w:tc>
        <w:tc>
          <w:tcPr>
            <w:tcW w:w="664" w:type="dxa"/>
          </w:tcPr>
          <w:p w14:paraId="588040CD" w14:textId="77777777" w:rsidR="00AE7274" w:rsidRDefault="00301B1E">
            <w:pPr>
              <w:pStyle w:val="TableParagraph"/>
              <w:spacing w:line="249" w:lineRule="exact"/>
              <w:ind w:left="104"/>
            </w:pPr>
            <w:r>
              <w:t>2.60</w:t>
            </w:r>
          </w:p>
        </w:tc>
        <w:tc>
          <w:tcPr>
            <w:tcW w:w="664" w:type="dxa"/>
          </w:tcPr>
          <w:p w14:paraId="4B42DE4D" w14:textId="77777777" w:rsidR="00AE7274" w:rsidRDefault="00301B1E">
            <w:pPr>
              <w:pStyle w:val="TableParagraph"/>
              <w:spacing w:line="249" w:lineRule="exact"/>
            </w:pPr>
            <w:r>
              <w:t>1.63</w:t>
            </w:r>
          </w:p>
        </w:tc>
        <w:tc>
          <w:tcPr>
            <w:tcW w:w="664" w:type="dxa"/>
          </w:tcPr>
          <w:p w14:paraId="5F57040A" w14:textId="77777777" w:rsidR="00AE7274" w:rsidRDefault="00301B1E">
            <w:pPr>
              <w:pStyle w:val="TableParagraph"/>
              <w:spacing w:line="249" w:lineRule="exact"/>
            </w:pPr>
            <w:r>
              <w:t>0.93</w:t>
            </w:r>
          </w:p>
        </w:tc>
        <w:tc>
          <w:tcPr>
            <w:tcW w:w="610" w:type="dxa"/>
          </w:tcPr>
          <w:p w14:paraId="2842EC32" w14:textId="77777777" w:rsidR="00AE7274" w:rsidRDefault="00301B1E">
            <w:pPr>
              <w:pStyle w:val="TableParagraph"/>
              <w:spacing w:line="249" w:lineRule="exact"/>
            </w:pPr>
            <w:r>
              <w:t>1.90</w:t>
            </w:r>
          </w:p>
        </w:tc>
      </w:tr>
    </w:tbl>
    <w:p w14:paraId="0B06CD0E" w14:textId="77777777" w:rsidR="00AE7274" w:rsidRDefault="00AE7274">
      <w:pPr>
        <w:pStyle w:val="BodyText"/>
        <w:spacing w:before="1"/>
        <w:rPr>
          <w:rFonts w:ascii="Times New Roman"/>
          <w:sz w:val="19"/>
        </w:rPr>
      </w:pPr>
    </w:p>
    <w:p w14:paraId="1EF53A1A" w14:textId="246D85FD" w:rsidR="00AE7274" w:rsidRDefault="00301B1E">
      <w:pPr>
        <w:pStyle w:val="BodyText"/>
        <w:spacing w:before="102" w:line="386" w:lineRule="auto"/>
        <w:ind w:left="100" w:right="100"/>
        <w:jc w:val="center"/>
      </w:pPr>
      <w:r>
        <w:t>Total</w:t>
      </w:r>
      <w:r>
        <w:rPr>
          <w:spacing w:val="-10"/>
        </w:rPr>
        <w:t xml:space="preserve"> </w:t>
      </w:r>
      <w:r>
        <w:t>contact</w:t>
      </w:r>
      <w:r>
        <w:rPr>
          <w:spacing w:val="-10"/>
        </w:rPr>
        <w:t xml:space="preserve"> </w:t>
      </w:r>
      <w:r>
        <w:t>rate</w:t>
      </w:r>
      <w:r>
        <w:rPr>
          <w:spacing w:val="-9"/>
        </w:rPr>
        <w:t xml:space="preserve"> </w:t>
      </w:r>
      <w:r>
        <w:t>ratios</w:t>
      </w:r>
      <w:r>
        <w:rPr>
          <w:spacing w:val="-10"/>
        </w:rPr>
        <w:t xml:space="preserve"> </w:t>
      </w:r>
      <w:r>
        <w:t>relative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non-Hispanic</w:t>
      </w:r>
      <w:r>
        <w:rPr>
          <w:spacing w:val="-10"/>
        </w:rPr>
        <w:t xml:space="preserve"> </w:t>
      </w:r>
      <w:r>
        <w:t>whites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proportionate</w:t>
      </w:r>
      <w:r>
        <w:rPr>
          <w:spacing w:val="-9"/>
        </w:rPr>
        <w:t xml:space="preserve"> </w:t>
      </w:r>
      <w:r>
        <w:t>mixing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census</w:t>
      </w:r>
      <w:r>
        <w:rPr>
          <w:spacing w:val="-9"/>
        </w:rPr>
        <w:t xml:space="preserve"> </w:t>
      </w:r>
      <w:r>
        <w:t>models</w:t>
      </w:r>
      <w:r>
        <w:rPr>
          <w:spacing w:val="-58"/>
        </w:rPr>
        <w:t xml:space="preserve"> </w:t>
      </w:r>
      <w:r>
        <w:t>fit to New York City (top) and Long Island (bottom) data. Group A denotes non-Hispanic whites, B</w:t>
      </w:r>
      <w:r>
        <w:rPr>
          <w:spacing w:val="1"/>
        </w:rPr>
        <w:t xml:space="preserve"> </w:t>
      </w:r>
      <w:r>
        <w:t>denotes</w:t>
      </w:r>
      <w:r>
        <w:rPr>
          <w:spacing w:val="-9"/>
        </w:rPr>
        <w:t xml:space="preserve"> </w:t>
      </w:r>
      <w:r>
        <w:t>Hispanics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Latinos,</w:t>
      </w:r>
      <w:r>
        <w:rPr>
          <w:spacing w:val="-8"/>
        </w:rPr>
        <w:t xml:space="preserve"> </w:t>
      </w:r>
      <w:r>
        <w:t>C</w:t>
      </w:r>
      <w:r>
        <w:rPr>
          <w:spacing w:val="-9"/>
        </w:rPr>
        <w:t xml:space="preserve"> </w:t>
      </w:r>
      <w:r>
        <w:t>denotes</w:t>
      </w:r>
      <w:r>
        <w:rPr>
          <w:spacing w:val="-9"/>
        </w:rPr>
        <w:t xml:space="preserve"> </w:t>
      </w:r>
      <w:r>
        <w:t>non-Hispanic</w:t>
      </w:r>
      <w:r>
        <w:rPr>
          <w:spacing w:val="-8"/>
        </w:rPr>
        <w:t xml:space="preserve"> </w:t>
      </w:r>
      <w:r>
        <w:t xml:space="preserve">African </w:t>
      </w:r>
      <w:r>
        <w:t>Americans,</w:t>
      </w:r>
      <w:r>
        <w:rPr>
          <w:spacing w:val="-9"/>
        </w:rPr>
        <w:t xml:space="preserve"> </w:t>
      </w:r>
      <w:r>
        <w:t>D</w:t>
      </w:r>
      <w:r>
        <w:rPr>
          <w:spacing w:val="-8"/>
        </w:rPr>
        <w:t xml:space="preserve"> </w:t>
      </w:r>
      <w:r>
        <w:t>denotes</w:t>
      </w:r>
      <w:r>
        <w:rPr>
          <w:spacing w:val="-9"/>
        </w:rPr>
        <w:t xml:space="preserve"> </w:t>
      </w:r>
      <w:r>
        <w:t>no</w:t>
      </w:r>
      <w:r>
        <w:t>n-Hispanic</w:t>
      </w:r>
      <w:r>
        <w:rPr>
          <w:spacing w:val="-58"/>
        </w:rPr>
        <w:t xml:space="preserve"> </w:t>
      </w:r>
      <w:r>
        <w:t>Asians,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denotes</w:t>
      </w:r>
      <w:r>
        <w:rPr>
          <w:spacing w:val="-2"/>
        </w:rPr>
        <w:t xml:space="preserve"> </w:t>
      </w:r>
      <w:r>
        <w:t>multiracial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demographic</w:t>
      </w:r>
      <w:r>
        <w:rPr>
          <w:spacing w:val="-2"/>
        </w:rPr>
        <w:t xml:space="preserve"> </w:t>
      </w:r>
      <w:r>
        <w:t>groups.</w:t>
      </w:r>
    </w:p>
    <w:p w14:paraId="40C2AAC5" w14:textId="77777777" w:rsidR="00AE7274" w:rsidRDefault="00AE7274">
      <w:pPr>
        <w:pStyle w:val="BodyText"/>
        <w:rPr>
          <w:sz w:val="26"/>
        </w:rPr>
      </w:pPr>
    </w:p>
    <w:p w14:paraId="071E31AB" w14:textId="77777777" w:rsidR="00AE7274" w:rsidRDefault="00AE7274">
      <w:pPr>
        <w:pStyle w:val="BodyText"/>
        <w:rPr>
          <w:sz w:val="26"/>
        </w:rPr>
      </w:pPr>
    </w:p>
    <w:p w14:paraId="2C642864" w14:textId="77777777" w:rsidR="00AE7274" w:rsidRDefault="00AE7274">
      <w:pPr>
        <w:pStyle w:val="BodyText"/>
        <w:rPr>
          <w:sz w:val="26"/>
        </w:rPr>
      </w:pPr>
    </w:p>
    <w:p w14:paraId="196E51CF" w14:textId="77777777" w:rsidR="00AE7274" w:rsidRDefault="00AE7274">
      <w:pPr>
        <w:pStyle w:val="BodyText"/>
        <w:rPr>
          <w:sz w:val="26"/>
        </w:rPr>
      </w:pPr>
    </w:p>
    <w:p w14:paraId="38451EA2" w14:textId="77777777" w:rsidR="00AE7274" w:rsidRDefault="00AE7274">
      <w:pPr>
        <w:pStyle w:val="BodyText"/>
        <w:rPr>
          <w:sz w:val="26"/>
        </w:rPr>
      </w:pPr>
    </w:p>
    <w:p w14:paraId="4EB4FBAD" w14:textId="77777777" w:rsidR="00AE7274" w:rsidRDefault="00AE7274">
      <w:pPr>
        <w:pStyle w:val="BodyText"/>
        <w:rPr>
          <w:sz w:val="26"/>
        </w:rPr>
      </w:pPr>
    </w:p>
    <w:p w14:paraId="1027F8FD" w14:textId="77777777" w:rsidR="00AE7274" w:rsidRDefault="00AE7274">
      <w:pPr>
        <w:pStyle w:val="BodyText"/>
        <w:rPr>
          <w:sz w:val="26"/>
        </w:rPr>
      </w:pPr>
    </w:p>
    <w:p w14:paraId="6887ACEB" w14:textId="77777777" w:rsidR="00AE7274" w:rsidRDefault="00AE7274">
      <w:pPr>
        <w:pStyle w:val="BodyText"/>
        <w:rPr>
          <w:sz w:val="26"/>
        </w:rPr>
      </w:pPr>
    </w:p>
    <w:p w14:paraId="38019740" w14:textId="77777777" w:rsidR="00AE7274" w:rsidRDefault="00AE7274">
      <w:pPr>
        <w:pStyle w:val="BodyText"/>
        <w:rPr>
          <w:sz w:val="26"/>
        </w:rPr>
      </w:pPr>
    </w:p>
    <w:p w14:paraId="301450F6" w14:textId="77777777" w:rsidR="00AE7274" w:rsidRDefault="00AE7274">
      <w:pPr>
        <w:pStyle w:val="BodyText"/>
        <w:rPr>
          <w:sz w:val="26"/>
        </w:rPr>
      </w:pPr>
    </w:p>
    <w:p w14:paraId="1672B7A0" w14:textId="77777777" w:rsidR="00AE7274" w:rsidRDefault="00AE7274">
      <w:pPr>
        <w:pStyle w:val="BodyText"/>
        <w:rPr>
          <w:sz w:val="26"/>
        </w:rPr>
      </w:pPr>
    </w:p>
    <w:p w14:paraId="49FB28D3" w14:textId="77777777" w:rsidR="00AE7274" w:rsidRDefault="00AE7274">
      <w:pPr>
        <w:pStyle w:val="BodyText"/>
        <w:rPr>
          <w:sz w:val="26"/>
        </w:rPr>
      </w:pPr>
    </w:p>
    <w:p w14:paraId="435A0D3B" w14:textId="77777777" w:rsidR="00AE7274" w:rsidRDefault="00AE7274">
      <w:pPr>
        <w:pStyle w:val="BodyText"/>
        <w:rPr>
          <w:sz w:val="26"/>
        </w:rPr>
      </w:pPr>
    </w:p>
    <w:p w14:paraId="70BA5D75" w14:textId="77777777" w:rsidR="00AE7274" w:rsidRDefault="00AE7274">
      <w:pPr>
        <w:pStyle w:val="BodyText"/>
        <w:rPr>
          <w:sz w:val="26"/>
        </w:rPr>
      </w:pPr>
    </w:p>
    <w:p w14:paraId="38A04738" w14:textId="77777777" w:rsidR="00AE7274" w:rsidRDefault="00AE7274">
      <w:pPr>
        <w:pStyle w:val="BodyText"/>
        <w:rPr>
          <w:sz w:val="26"/>
        </w:rPr>
      </w:pPr>
    </w:p>
    <w:p w14:paraId="77D8F09A" w14:textId="77777777" w:rsidR="00AE7274" w:rsidRDefault="00AE7274">
      <w:pPr>
        <w:pStyle w:val="BodyText"/>
        <w:rPr>
          <w:sz w:val="26"/>
        </w:rPr>
      </w:pPr>
    </w:p>
    <w:p w14:paraId="58934C2A" w14:textId="77777777" w:rsidR="00AE7274" w:rsidRDefault="00AE7274">
      <w:pPr>
        <w:pStyle w:val="BodyText"/>
        <w:rPr>
          <w:sz w:val="26"/>
        </w:rPr>
      </w:pPr>
    </w:p>
    <w:p w14:paraId="25DDC9CA" w14:textId="77777777" w:rsidR="00AE7274" w:rsidRDefault="00AE7274">
      <w:pPr>
        <w:pStyle w:val="BodyText"/>
        <w:rPr>
          <w:sz w:val="26"/>
        </w:rPr>
      </w:pPr>
    </w:p>
    <w:p w14:paraId="48931EC0" w14:textId="77777777" w:rsidR="00AE7274" w:rsidRDefault="00AE7274">
      <w:pPr>
        <w:pStyle w:val="BodyText"/>
        <w:rPr>
          <w:sz w:val="26"/>
        </w:rPr>
      </w:pPr>
    </w:p>
    <w:p w14:paraId="4F0F99D2" w14:textId="77777777" w:rsidR="00AE7274" w:rsidRDefault="00AE7274">
      <w:pPr>
        <w:pStyle w:val="BodyText"/>
        <w:rPr>
          <w:sz w:val="26"/>
        </w:rPr>
      </w:pPr>
    </w:p>
    <w:p w14:paraId="248CE09C" w14:textId="77777777" w:rsidR="00AE7274" w:rsidRDefault="00AE7274">
      <w:pPr>
        <w:pStyle w:val="BodyText"/>
        <w:rPr>
          <w:sz w:val="26"/>
        </w:rPr>
      </w:pPr>
    </w:p>
    <w:p w14:paraId="4B9199E9" w14:textId="77777777" w:rsidR="00AE7274" w:rsidRDefault="00AE7274">
      <w:pPr>
        <w:pStyle w:val="BodyText"/>
        <w:rPr>
          <w:sz w:val="26"/>
        </w:rPr>
      </w:pPr>
    </w:p>
    <w:p w14:paraId="2BCA664C" w14:textId="77777777" w:rsidR="00AE7274" w:rsidRDefault="00AE7274">
      <w:pPr>
        <w:pStyle w:val="BodyText"/>
        <w:rPr>
          <w:sz w:val="26"/>
        </w:rPr>
      </w:pPr>
    </w:p>
    <w:p w14:paraId="0EC3459B" w14:textId="77777777" w:rsidR="00AE7274" w:rsidRDefault="00AE7274">
      <w:pPr>
        <w:pStyle w:val="BodyText"/>
        <w:rPr>
          <w:sz w:val="26"/>
        </w:rPr>
      </w:pPr>
    </w:p>
    <w:p w14:paraId="74521689" w14:textId="77777777" w:rsidR="00AE7274" w:rsidRDefault="00AE7274">
      <w:pPr>
        <w:pStyle w:val="BodyText"/>
        <w:rPr>
          <w:sz w:val="26"/>
        </w:rPr>
      </w:pPr>
    </w:p>
    <w:p w14:paraId="0C376DB3" w14:textId="77777777" w:rsidR="00AE7274" w:rsidRDefault="00AE7274">
      <w:pPr>
        <w:pStyle w:val="BodyText"/>
        <w:rPr>
          <w:sz w:val="26"/>
        </w:rPr>
      </w:pPr>
    </w:p>
    <w:p w14:paraId="45781D1B" w14:textId="77777777" w:rsidR="00AE7274" w:rsidRDefault="00AE7274">
      <w:pPr>
        <w:pStyle w:val="BodyText"/>
        <w:rPr>
          <w:sz w:val="26"/>
        </w:rPr>
      </w:pPr>
    </w:p>
    <w:p w14:paraId="2C016DAD" w14:textId="77777777" w:rsidR="00AE7274" w:rsidRDefault="00AE7274">
      <w:pPr>
        <w:pStyle w:val="BodyText"/>
        <w:rPr>
          <w:sz w:val="26"/>
        </w:rPr>
      </w:pPr>
    </w:p>
    <w:p w14:paraId="4DD949A8" w14:textId="77777777" w:rsidR="00AE7274" w:rsidRDefault="00AE7274">
      <w:pPr>
        <w:pStyle w:val="BodyText"/>
        <w:rPr>
          <w:sz w:val="26"/>
        </w:rPr>
      </w:pPr>
    </w:p>
    <w:p w14:paraId="23EB9AA2" w14:textId="77777777" w:rsidR="00AE7274" w:rsidRDefault="00AE7274">
      <w:pPr>
        <w:pStyle w:val="BodyText"/>
        <w:spacing w:before="4"/>
        <w:rPr>
          <w:sz w:val="24"/>
        </w:rPr>
      </w:pPr>
    </w:p>
    <w:p w14:paraId="20980235" w14:textId="77777777" w:rsidR="00AE7274" w:rsidRDefault="00301B1E">
      <w:pPr>
        <w:pStyle w:val="BodyText"/>
        <w:jc w:val="center"/>
      </w:pPr>
      <w:r>
        <w:rPr>
          <w:w w:val="99"/>
        </w:rPr>
        <w:t>1</w:t>
      </w:r>
    </w:p>
    <w:sectPr w:rsidR="00AE7274">
      <w:type w:val="continuous"/>
      <w:pgSz w:w="12240" w:h="15840"/>
      <w:pgMar w:top="1400" w:right="110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7274"/>
    <w:rsid w:val="00301B1E"/>
    <w:rsid w:val="00A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3E6E6"/>
  <w15:docId w15:val="{271D1F7C-DB7D-439C-A2E2-08EAA02D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Ma, Kevin C.</cp:lastModifiedBy>
  <cp:revision>2</cp:revision>
  <dcterms:created xsi:type="dcterms:W3CDTF">2021-05-11T19:22:00Z</dcterms:created>
  <dcterms:modified xsi:type="dcterms:W3CDTF">2021-05-11T19:27:00Z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2021-05-11T00:00:00Z</vt:filetime>
  </property>
</Properties>
</file>