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C9F1" w14:textId="1F093782" w:rsidR="00477E59" w:rsidRPr="0065195B" w:rsidRDefault="00B108DA" w:rsidP="00015D6E">
      <w:pPr>
        <w:widowControl/>
        <w:spacing w:line="480" w:lineRule="auto"/>
        <w:jc w:val="center"/>
        <w:rPr>
          <w:rFonts w:cs="Times New Roman"/>
          <w:b/>
          <w:sz w:val="40"/>
          <w:szCs w:val="40"/>
        </w:rPr>
      </w:pPr>
      <w:r>
        <w:rPr>
          <w:rFonts w:eastAsia="游明朝" w:cs="Times New Roman"/>
          <w:b/>
          <w:sz w:val="40"/>
          <w:szCs w:val="40"/>
        </w:rPr>
        <w:t>Supplementary</w:t>
      </w:r>
      <w:r w:rsidR="005B0EAD">
        <w:rPr>
          <w:rFonts w:eastAsia="游明朝" w:cs="Times New Roman"/>
          <w:b/>
          <w:sz w:val="40"/>
          <w:szCs w:val="40"/>
        </w:rPr>
        <w:t xml:space="preserve"> </w:t>
      </w:r>
      <w:r w:rsidR="00EB048D">
        <w:rPr>
          <w:rFonts w:eastAsia="游明朝" w:cs="Times New Roman"/>
          <w:b/>
          <w:sz w:val="40"/>
          <w:szCs w:val="40"/>
        </w:rPr>
        <w:t>Information</w:t>
      </w:r>
    </w:p>
    <w:p w14:paraId="7DB70E9B" w14:textId="77777777" w:rsidR="00477E59" w:rsidRPr="00961F97" w:rsidRDefault="00477E59" w:rsidP="00015D6E">
      <w:pPr>
        <w:widowControl/>
        <w:spacing w:line="480" w:lineRule="auto"/>
        <w:jc w:val="center"/>
        <w:rPr>
          <w:rFonts w:cs="Times New Roman"/>
          <w:b/>
          <w:sz w:val="40"/>
          <w:szCs w:val="40"/>
        </w:rPr>
      </w:pPr>
    </w:p>
    <w:p w14:paraId="386C96F7" w14:textId="77777777" w:rsidR="005C71C9" w:rsidRDefault="005C71C9" w:rsidP="005C71C9">
      <w:pPr>
        <w:pStyle w:val="af"/>
        <w:jc w:val="center"/>
        <w:rPr>
          <w:rFonts w:eastAsia="游明朝"/>
          <w:b/>
          <w:sz w:val="36"/>
          <w:szCs w:val="36"/>
        </w:rPr>
      </w:pPr>
      <w:r>
        <w:rPr>
          <w:rFonts w:eastAsia="游明朝"/>
          <w:b/>
          <w:sz w:val="36"/>
          <w:szCs w:val="36"/>
        </w:rPr>
        <w:t xml:space="preserve">Localization of KRAS downstream target ARL4C to </w:t>
      </w:r>
    </w:p>
    <w:p w14:paraId="38E86589" w14:textId="77777777" w:rsidR="005C71C9" w:rsidRDefault="005C71C9" w:rsidP="005C71C9">
      <w:pPr>
        <w:pStyle w:val="af"/>
        <w:jc w:val="center"/>
        <w:rPr>
          <w:rFonts w:eastAsia="游明朝"/>
          <w:b/>
          <w:sz w:val="36"/>
          <w:szCs w:val="36"/>
        </w:rPr>
      </w:pPr>
      <w:r>
        <w:rPr>
          <w:rFonts w:eastAsia="游明朝"/>
          <w:b/>
          <w:sz w:val="36"/>
          <w:szCs w:val="36"/>
        </w:rPr>
        <w:t xml:space="preserve">invasive pseudopods </w:t>
      </w:r>
      <w:proofErr w:type="gramStart"/>
      <w:r>
        <w:rPr>
          <w:rFonts w:eastAsia="游明朝"/>
          <w:b/>
          <w:sz w:val="36"/>
          <w:szCs w:val="36"/>
        </w:rPr>
        <w:t>accelerates</w:t>
      </w:r>
      <w:proofErr w:type="gramEnd"/>
    </w:p>
    <w:p w14:paraId="468C1083" w14:textId="77777777" w:rsidR="005C71C9" w:rsidRDefault="005C71C9" w:rsidP="005C71C9">
      <w:pPr>
        <w:pStyle w:val="af"/>
        <w:jc w:val="center"/>
        <w:rPr>
          <w:rFonts w:eastAsia="游明朝"/>
          <w:b/>
          <w:sz w:val="36"/>
          <w:szCs w:val="36"/>
        </w:rPr>
      </w:pPr>
      <w:r>
        <w:rPr>
          <w:rFonts w:eastAsia="游明朝"/>
          <w:b/>
          <w:sz w:val="36"/>
          <w:szCs w:val="36"/>
        </w:rPr>
        <w:t>pancreatic cancer cell invasion</w:t>
      </w:r>
    </w:p>
    <w:p w14:paraId="3ADEA55F" w14:textId="77777777" w:rsidR="0040417A" w:rsidRPr="005C71C9" w:rsidRDefault="0040417A" w:rsidP="00015D6E">
      <w:pPr>
        <w:widowControl/>
        <w:spacing w:line="480" w:lineRule="auto"/>
        <w:jc w:val="center"/>
        <w:rPr>
          <w:rFonts w:cs="Times New Roman"/>
          <w:b/>
          <w:color w:val="FF0000"/>
          <w:sz w:val="32"/>
          <w:szCs w:val="32"/>
        </w:rPr>
      </w:pPr>
    </w:p>
    <w:p w14:paraId="4C64204B" w14:textId="77777777" w:rsidR="005C71C9" w:rsidRDefault="005C71C9" w:rsidP="005C71C9">
      <w:pPr>
        <w:widowControl/>
        <w:spacing w:line="48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Akikazu Harada</w:t>
      </w:r>
      <w:r>
        <w:rPr>
          <w:rFonts w:cs="Times New Roman"/>
          <w:b/>
          <w:sz w:val="32"/>
          <w:szCs w:val="32"/>
          <w:vertAlign w:val="superscript"/>
        </w:rPr>
        <w:t>1,4</w:t>
      </w:r>
      <w:r>
        <w:rPr>
          <w:rFonts w:cs="Times New Roman"/>
          <w:b/>
          <w:sz w:val="32"/>
          <w:szCs w:val="32"/>
        </w:rPr>
        <w:t>, Shinji Matsumoto</w:t>
      </w:r>
      <w:r>
        <w:rPr>
          <w:rFonts w:cs="Times New Roman"/>
          <w:b/>
          <w:sz w:val="32"/>
          <w:szCs w:val="32"/>
          <w:vertAlign w:val="superscript"/>
        </w:rPr>
        <w:t>1,4</w:t>
      </w:r>
      <w:r>
        <w:rPr>
          <w:rFonts w:cs="Times New Roman"/>
          <w:b/>
          <w:sz w:val="32"/>
          <w:szCs w:val="32"/>
        </w:rPr>
        <w:t>, Yoshi</w:t>
      </w:r>
      <w:r>
        <w:rPr>
          <w:rFonts w:eastAsia="游明朝" w:cs="Times New Roman"/>
          <w:b/>
          <w:sz w:val="32"/>
          <w:szCs w:val="32"/>
        </w:rPr>
        <w:t>a</w:t>
      </w:r>
      <w:r>
        <w:rPr>
          <w:rFonts w:cs="Times New Roman"/>
          <w:b/>
          <w:sz w:val="32"/>
          <w:szCs w:val="32"/>
        </w:rPr>
        <w:t>ki Yasumizu</w:t>
      </w:r>
      <w:r>
        <w:rPr>
          <w:rFonts w:cs="Times New Roman"/>
          <w:b/>
          <w:sz w:val="32"/>
          <w:szCs w:val="32"/>
          <w:vertAlign w:val="superscript"/>
        </w:rPr>
        <w:t>3,4</w:t>
      </w:r>
      <w:r>
        <w:rPr>
          <w:rFonts w:cs="Times New Roman"/>
          <w:b/>
          <w:sz w:val="32"/>
          <w:szCs w:val="32"/>
        </w:rPr>
        <w:t>,</w:t>
      </w:r>
    </w:p>
    <w:p w14:paraId="004493A0" w14:textId="280E54D8" w:rsidR="00115201" w:rsidRPr="005C71C9" w:rsidRDefault="005C71C9" w:rsidP="005C71C9">
      <w:pPr>
        <w:widowControl/>
        <w:spacing w:line="480" w:lineRule="auto"/>
        <w:jc w:val="center"/>
        <w:rPr>
          <w:rFonts w:eastAsia="游明朝" w:cs="Times New Roman" w:hint="eastAsia"/>
          <w:b/>
          <w:sz w:val="32"/>
          <w:szCs w:val="32"/>
        </w:rPr>
      </w:pPr>
      <w:r>
        <w:rPr>
          <w:rFonts w:eastAsia="游明朝" w:cs="Times New Roman"/>
          <w:b/>
          <w:sz w:val="32"/>
          <w:szCs w:val="32"/>
        </w:rPr>
        <w:t>Toshiyuki Akama</w:t>
      </w:r>
      <w:r>
        <w:rPr>
          <w:rFonts w:cs="Times New Roman"/>
          <w:b/>
          <w:sz w:val="32"/>
          <w:szCs w:val="32"/>
          <w:vertAlign w:val="superscript"/>
        </w:rPr>
        <w:t>1</w:t>
      </w:r>
      <w:r>
        <w:rPr>
          <w:rFonts w:eastAsia="游明朝" w:cs="Times New Roman"/>
          <w:b/>
          <w:sz w:val="32"/>
          <w:szCs w:val="32"/>
        </w:rPr>
        <w:t xml:space="preserve">, </w:t>
      </w:r>
      <w:r>
        <w:rPr>
          <w:rFonts w:cs="Times New Roman"/>
          <w:b/>
          <w:sz w:val="32"/>
          <w:szCs w:val="32"/>
        </w:rPr>
        <w:t>Hidetoshi Eguchi</w:t>
      </w:r>
      <w:r>
        <w:rPr>
          <w:rFonts w:cs="Times New Roman"/>
          <w:b/>
          <w:sz w:val="32"/>
          <w:szCs w:val="32"/>
          <w:vertAlign w:val="superscript"/>
        </w:rPr>
        <w:t>2</w:t>
      </w:r>
      <w:r>
        <w:rPr>
          <w:rFonts w:cs="Times New Roman"/>
          <w:b/>
          <w:sz w:val="32"/>
          <w:szCs w:val="32"/>
        </w:rPr>
        <w:t>, and Akira Kikuchi</w:t>
      </w:r>
      <w:r>
        <w:rPr>
          <w:rFonts w:cs="Times New Roman"/>
          <w:b/>
          <w:sz w:val="32"/>
          <w:szCs w:val="32"/>
          <w:vertAlign w:val="superscript"/>
        </w:rPr>
        <w:t>1*</w:t>
      </w:r>
    </w:p>
    <w:p w14:paraId="61E014AD" w14:textId="77777777" w:rsidR="00115201" w:rsidRDefault="00115201" w:rsidP="00015D6E">
      <w:pPr>
        <w:widowControl/>
        <w:spacing w:line="480" w:lineRule="auto"/>
        <w:jc w:val="left"/>
        <w:rPr>
          <w:szCs w:val="24"/>
        </w:rPr>
      </w:pPr>
    </w:p>
    <w:p w14:paraId="7272E435" w14:textId="77777777" w:rsidR="005C71C9" w:rsidRDefault="005C71C9" w:rsidP="005C71C9">
      <w:pPr>
        <w:widowControl/>
        <w:spacing w:line="360" w:lineRule="exact"/>
        <w:jc w:val="left"/>
        <w:rPr>
          <w:szCs w:val="24"/>
        </w:rPr>
      </w:pPr>
      <w:r>
        <w:rPr>
          <w:szCs w:val="24"/>
        </w:rPr>
        <w:t xml:space="preserve">Departments of 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Molecular Biology and Biochemistry, </w:t>
      </w:r>
      <w:r>
        <w:rPr>
          <w:szCs w:val="24"/>
          <w:vertAlign w:val="superscript"/>
        </w:rPr>
        <w:t>2</w:t>
      </w:r>
      <w:r>
        <w:rPr>
          <w:rFonts w:cs="AdvOTa293a443"/>
          <w:szCs w:val="14"/>
        </w:rPr>
        <w:t>Gastroenterological</w:t>
      </w:r>
      <w:r>
        <w:rPr>
          <w:szCs w:val="24"/>
        </w:rPr>
        <w:t xml:space="preserve"> Surgery, Graduate School of Medicine, 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Laboratory of Experimental Immunology, WPI Frontier Immunology Research Center, </w:t>
      </w:r>
      <w:r>
        <w:rPr>
          <w:szCs w:val="24"/>
          <w:vertAlign w:val="superscript"/>
        </w:rPr>
        <w:t>4</w:t>
      </w:r>
      <w:r>
        <w:rPr>
          <w:szCs w:val="24"/>
        </w:rPr>
        <w:t xml:space="preserve">Integrated Frontier Research for Medical Science Division, Institute for Open and Transdisciplinary Research Initiatives (OTRI), Osaka University, 2-2 </w:t>
      </w:r>
      <w:proofErr w:type="spellStart"/>
      <w:r>
        <w:rPr>
          <w:szCs w:val="24"/>
        </w:rPr>
        <w:t>Yamadaoka</w:t>
      </w:r>
      <w:proofErr w:type="spellEnd"/>
      <w:r>
        <w:rPr>
          <w:szCs w:val="24"/>
        </w:rPr>
        <w:t>, Suita, Osaka 565-0871, Japan</w:t>
      </w:r>
    </w:p>
    <w:p w14:paraId="23D30C07" w14:textId="77777777" w:rsidR="00B347B0" w:rsidRPr="005C71C9" w:rsidRDefault="00B347B0" w:rsidP="00B347B0">
      <w:pPr>
        <w:widowControl/>
        <w:spacing w:line="360" w:lineRule="exact"/>
        <w:jc w:val="left"/>
        <w:rPr>
          <w:rFonts w:cs="Times New Roman"/>
          <w:b/>
          <w:szCs w:val="24"/>
        </w:rPr>
      </w:pPr>
    </w:p>
    <w:p w14:paraId="72812B9A" w14:textId="77777777" w:rsidR="00B347B0" w:rsidRPr="005D29C8" w:rsidRDefault="00B347B0" w:rsidP="00B347B0">
      <w:pPr>
        <w:widowControl/>
        <w:spacing w:line="360" w:lineRule="exact"/>
        <w:jc w:val="left"/>
        <w:rPr>
          <w:rFonts w:cs="Times New Roman"/>
          <w:b/>
          <w:szCs w:val="24"/>
        </w:rPr>
      </w:pPr>
      <w:r w:rsidRPr="005D29C8">
        <w:rPr>
          <w:rFonts w:cs="Times New Roman"/>
          <w:b/>
          <w:szCs w:val="24"/>
        </w:rPr>
        <w:t>*</w:t>
      </w:r>
      <w:r w:rsidRPr="005D29C8">
        <w:rPr>
          <w:rFonts w:cs="Times New Roman"/>
          <w:szCs w:val="24"/>
        </w:rPr>
        <w:t>Co</w:t>
      </w:r>
      <w:r w:rsidRPr="005D29C8">
        <w:rPr>
          <w:szCs w:val="24"/>
        </w:rPr>
        <w:t xml:space="preserve">rrespondence author. Department of Molecular Biology and Biochemistry, Graduate School of Medicine, Osaka University, 2-2 </w:t>
      </w:r>
      <w:proofErr w:type="spellStart"/>
      <w:r w:rsidRPr="005D29C8">
        <w:rPr>
          <w:szCs w:val="24"/>
        </w:rPr>
        <w:t>Yamadaoka</w:t>
      </w:r>
      <w:proofErr w:type="spellEnd"/>
      <w:r w:rsidRPr="005D29C8">
        <w:rPr>
          <w:szCs w:val="24"/>
        </w:rPr>
        <w:t xml:space="preserve">, Suita 565-0871, Japan. </w:t>
      </w:r>
      <w:r w:rsidRPr="005D29C8">
        <w:rPr>
          <w:szCs w:val="24"/>
          <w:lang w:val="fr-FR"/>
        </w:rPr>
        <w:t>Phone, 81-6-6879-3410. Fax, 81-6-6879-3419. E-mail: akikuchi@molbiobc.med.osaka-u.ac.jp</w:t>
      </w:r>
    </w:p>
    <w:p w14:paraId="7EFF55C8" w14:textId="6BF6D34E" w:rsidR="00603C96" w:rsidRDefault="00603C96" w:rsidP="00015D6E">
      <w:pPr>
        <w:widowControl/>
        <w:spacing w:line="480" w:lineRule="auto"/>
        <w:jc w:val="left"/>
        <w:rPr>
          <w:rFonts w:eastAsia="游明朝"/>
          <w:szCs w:val="24"/>
        </w:rPr>
      </w:pPr>
    </w:p>
    <w:p w14:paraId="77154973" w14:textId="054BD9AD" w:rsidR="00B347B0" w:rsidRDefault="00B347B0" w:rsidP="00015D6E">
      <w:pPr>
        <w:widowControl/>
        <w:spacing w:line="480" w:lineRule="auto"/>
        <w:jc w:val="left"/>
        <w:rPr>
          <w:rFonts w:eastAsia="游明朝"/>
          <w:szCs w:val="24"/>
        </w:rPr>
      </w:pPr>
    </w:p>
    <w:p w14:paraId="49EA7A0B" w14:textId="77777777" w:rsidR="00FE79F8" w:rsidRPr="00B347B0" w:rsidRDefault="00FE79F8" w:rsidP="00015D6E">
      <w:pPr>
        <w:widowControl/>
        <w:spacing w:line="480" w:lineRule="auto"/>
        <w:jc w:val="left"/>
        <w:rPr>
          <w:rFonts w:eastAsia="游明朝"/>
          <w:szCs w:val="24"/>
        </w:rPr>
      </w:pPr>
    </w:p>
    <w:p w14:paraId="602E5C4C" w14:textId="34DF90DD" w:rsidR="003D3E50" w:rsidRPr="003D3E50" w:rsidRDefault="003D3E50" w:rsidP="00FE79F8">
      <w:pPr>
        <w:widowControl/>
        <w:spacing w:line="360" w:lineRule="exact"/>
        <w:jc w:val="left"/>
        <w:rPr>
          <w:rFonts w:eastAsia="游明朝"/>
          <w:bCs/>
          <w:szCs w:val="24"/>
          <w:lang w:val="fr-FR"/>
        </w:rPr>
      </w:pPr>
      <w:bookmarkStart w:id="0" w:name="_Hlk56684476"/>
    </w:p>
    <w:p w14:paraId="20073580" w14:textId="183D4D0E" w:rsidR="00B347B0" w:rsidRDefault="00B347B0" w:rsidP="00FE79F8">
      <w:pPr>
        <w:widowControl/>
        <w:spacing w:line="360" w:lineRule="exact"/>
        <w:jc w:val="left"/>
        <w:rPr>
          <w:rFonts w:eastAsia="游明朝"/>
          <w:szCs w:val="24"/>
          <w:lang w:val="fr-FR"/>
        </w:rPr>
      </w:pPr>
    </w:p>
    <w:p w14:paraId="734352D8" w14:textId="21CE2844" w:rsidR="00B347B0" w:rsidRDefault="00B347B0" w:rsidP="00FE79F8">
      <w:pPr>
        <w:widowControl/>
        <w:spacing w:line="360" w:lineRule="exact"/>
        <w:jc w:val="left"/>
        <w:rPr>
          <w:rFonts w:eastAsia="游明朝"/>
          <w:szCs w:val="24"/>
          <w:lang w:val="fr-FR"/>
        </w:rPr>
      </w:pPr>
      <w:r>
        <w:rPr>
          <w:rFonts w:eastAsia="游明朝"/>
          <w:szCs w:val="24"/>
          <w:lang w:val="fr-FR"/>
        </w:rPr>
        <w:t xml:space="preserve">Supplementary </w:t>
      </w:r>
      <w:r w:rsidR="00EB72A1">
        <w:rPr>
          <w:rFonts w:eastAsia="游明朝"/>
          <w:szCs w:val="24"/>
          <w:lang w:val="fr-FR"/>
        </w:rPr>
        <w:t>file 1 Tables</w:t>
      </w:r>
      <w:r>
        <w:rPr>
          <w:rFonts w:eastAsia="游明朝"/>
          <w:szCs w:val="24"/>
          <w:lang w:val="fr-FR"/>
        </w:rPr>
        <w:t xml:space="preserve"> 1-8.</w:t>
      </w:r>
    </w:p>
    <w:bookmarkEnd w:id="0"/>
    <w:p w14:paraId="75FDE79E" w14:textId="6AE70009" w:rsidR="00EB72A1" w:rsidRDefault="00EB72A1">
      <w:pPr>
        <w:widowControl/>
        <w:spacing w:line="240" w:lineRule="auto"/>
        <w:jc w:val="left"/>
        <w:rPr>
          <w:rFonts w:ascii="游明朝" w:eastAsia="游明朝" w:hAnsi="游明朝" w:cs="Times New Roman" w:hint="eastAsia"/>
          <w:b/>
          <w:color w:val="FF0000"/>
          <w:szCs w:val="24"/>
        </w:rPr>
      </w:pPr>
    </w:p>
    <w:p w14:paraId="36918AFD" w14:textId="1247250B" w:rsidR="00EB72A1" w:rsidRPr="00AF5BD0" w:rsidRDefault="00EB72A1" w:rsidP="00EB72A1">
      <w:p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Cs w:val="24"/>
        </w:rPr>
        <w:lastRenderedPageBreak/>
        <w:t xml:space="preserve">Supplementary File 1 </w:t>
      </w:r>
      <w:r w:rsidRPr="0083010C">
        <w:rPr>
          <w:rFonts w:cs="Times New Roman"/>
          <w:b/>
          <w:bCs/>
          <w:szCs w:val="24"/>
        </w:rPr>
        <w:t>Table 1.</w:t>
      </w:r>
      <w:r w:rsidRPr="00AF5BD0">
        <w:rPr>
          <w:rFonts w:cs="Times New Roman"/>
          <w:szCs w:val="24"/>
        </w:rPr>
        <w:t xml:space="preserve"> Clinicopathological features of high and low ARL4C expression in PDAC.</w:t>
      </w:r>
    </w:p>
    <w:tbl>
      <w:tblPr>
        <w:tblW w:w="77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0"/>
        <w:gridCol w:w="1713"/>
        <w:gridCol w:w="1288"/>
        <w:gridCol w:w="1263"/>
        <w:gridCol w:w="910"/>
      </w:tblGrid>
      <w:tr w:rsidR="00EB72A1" w:rsidRPr="005C3819" w14:paraId="5F8E7940" w14:textId="77777777" w:rsidTr="001C0D9D">
        <w:trPr>
          <w:trHeight w:val="528"/>
        </w:trPr>
        <w:tc>
          <w:tcPr>
            <w:tcW w:w="2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DE48E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Parameters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5CA7E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61260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High ARL4C cases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BB51C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Low ARL4C cases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FAA8B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EB72A1" w:rsidRPr="005C3819" w14:paraId="57553306" w14:textId="77777777" w:rsidTr="001C0D9D">
        <w:trPr>
          <w:trHeight w:val="264"/>
        </w:trPr>
        <w:tc>
          <w:tcPr>
            <w:tcW w:w="2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758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Stage</w:t>
            </w:r>
          </w:p>
        </w:tc>
        <w:tc>
          <w:tcPr>
            <w:tcW w:w="1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776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IA-IIA</w:t>
            </w:r>
          </w:p>
        </w:tc>
        <w:tc>
          <w:tcPr>
            <w:tcW w:w="128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E56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20(76.9%)</w:t>
            </w:r>
          </w:p>
        </w:tc>
        <w:tc>
          <w:tcPr>
            <w:tcW w:w="12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BBD2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0" w:type="dxa"/>
            <w:vMerge w:val="restart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6367D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0.49</w:t>
            </w:r>
          </w:p>
        </w:tc>
      </w:tr>
      <w:tr w:rsidR="00EB72A1" w:rsidRPr="005C3819" w14:paraId="241B35A7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3504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CCC7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IIB-III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C4B6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27(87.1%)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1F96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B97DC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6F7B7B99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12E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 classification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C31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T1/2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2D4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6(66.7%)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5B9A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CEAE0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0.18</w:t>
            </w:r>
          </w:p>
        </w:tc>
      </w:tr>
      <w:tr w:rsidR="00EB72A1" w:rsidRPr="005C3819" w14:paraId="494E9635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18FD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7533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03C6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41(85.4%)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AD41A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C7AD4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19F32D74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46A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 classification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83A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A73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20(76.9%)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6F6C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873E7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0.49</w:t>
            </w:r>
          </w:p>
        </w:tc>
      </w:tr>
      <w:tr w:rsidR="00EB72A1" w:rsidRPr="005C3819" w14:paraId="7AA26582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680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A807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EA68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27(87.1%)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842D8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39273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2C388DA3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281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Lymphatic vessel invasion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913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ly0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877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13(72.2%)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47E0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15B4E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0.26</w:t>
            </w:r>
          </w:p>
        </w:tc>
      </w:tr>
      <w:tr w:rsidR="00EB72A1" w:rsidRPr="005C3819" w14:paraId="5FB3F5DA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E78F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2570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ly1/2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2224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34(87.2%)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8E89C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50901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6966923B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9AF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Venous invasion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D4D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v0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D66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28(82.4%)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4A59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512FF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B72A1" w:rsidRPr="005C3819" w14:paraId="6AD2AD2B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4DA3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468B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v1/2/3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119A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19(82.6%)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2F7B6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C5D03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02BCD53E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31E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Perineural invasion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1D8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ne0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15B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2(40.0%)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09FB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6C47E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0.033</w:t>
            </w:r>
          </w:p>
        </w:tc>
      </w:tr>
      <w:tr w:rsidR="00EB72A1" w:rsidRPr="005C3819" w14:paraId="4382F675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D593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4FEA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ne1/2/3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9614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45(86.5%)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66F49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C812B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57B80EF2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C9A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319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&lt;65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D46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12(75.0%)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9676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2104C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0.44</w:t>
            </w:r>
          </w:p>
        </w:tc>
      </w:tr>
      <w:tr w:rsidR="00EB72A1" w:rsidRPr="005C3819" w14:paraId="0617CBB8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243D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248F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≧</w:t>
            </w: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69AE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35(85.4%)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161F6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C8169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18781CC5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070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097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C7B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24(80.0%)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9ADD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EFE21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0.73</w:t>
            </w:r>
          </w:p>
        </w:tc>
      </w:tr>
      <w:tr w:rsidR="00EB72A1" w:rsidRPr="005C3819" w14:paraId="03029C81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470C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8745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4F25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23(85.2%)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1FCA6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064E9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2E6F1EE9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AEA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Tumor location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C91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Head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077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32(84.2%)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622F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971E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0.72</w:t>
            </w:r>
          </w:p>
        </w:tc>
      </w:tr>
      <w:tr w:rsidR="00EB72A1" w:rsidRPr="005C3819" w14:paraId="54F3B4DB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18F48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2B7A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Body and/or Tail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CCE0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15(78.9%)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7965E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0048B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46E1DF0" w14:textId="407B5FAA" w:rsidR="00EB72A1" w:rsidRPr="00D56C0B" w:rsidRDefault="00EB72A1" w:rsidP="00EB72A1">
      <w:pPr>
        <w:spacing w:line="240" w:lineRule="auto"/>
        <w:rPr>
          <w:rFonts w:eastAsia="游明朝" w:cs="Times New Roman"/>
          <w:szCs w:val="24"/>
        </w:rPr>
      </w:pPr>
      <w:r>
        <w:rPr>
          <w:rFonts w:cs="Times New Roman"/>
          <w:color w:val="000000"/>
          <w:shd w:val="clear" w:color="auto" w:fill="FFFFFF"/>
        </w:rPr>
        <w:t>Associations between ARL4C expression and the clinicopathologic characteristics were investigated.</w:t>
      </w:r>
      <w:r w:rsidRPr="001B451B">
        <w:rPr>
          <w:rFonts w:cs="Times New Roman"/>
          <w:i/>
          <w:iCs/>
          <w:szCs w:val="24"/>
        </w:rPr>
        <w:t xml:space="preserve"> P</w:t>
      </w:r>
      <w:r>
        <w:rPr>
          <w:rFonts w:cs="Times New Roman"/>
          <w:szCs w:val="24"/>
        </w:rPr>
        <w:t xml:space="preserve"> value</w:t>
      </w:r>
      <w:r w:rsidRPr="001B451B">
        <w:rPr>
          <w:rFonts w:cs="Times New Roman"/>
          <w:szCs w:val="24"/>
        </w:rPr>
        <w:t xml:space="preserve">s were calculated using </w:t>
      </w:r>
      <w:r>
        <w:rPr>
          <w:rFonts w:cs="Times New Roman"/>
          <w:color w:val="000000"/>
          <w:shd w:val="clear" w:color="auto" w:fill="FFFFFF"/>
        </w:rPr>
        <w:t xml:space="preserve">the Chi-square test. </w:t>
      </w:r>
      <w:r w:rsidRPr="00014E88">
        <w:rPr>
          <w:rFonts w:cs="Times New Roman"/>
          <w:color w:val="000000"/>
          <w:shd w:val="clear" w:color="auto" w:fill="FFFFFF"/>
        </w:rPr>
        <w:t>T1, tumor limited to the pancreas, 2 cm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or less in greatest dimension. T2, tumor limited to the pancreas, more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than 2 cm in greatest dimension. T3, tumor extends beyond the pancreas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but without involvement of the celiac axis or the superior mesenteric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artery. N0, no regional lymph node metastasis. N1, regional lymph node</w:t>
      </w:r>
      <w:r>
        <w:rPr>
          <w:rFonts w:ascii="游明朝" w:eastAsia="游明朝" w:hAnsi="游明朝" w:cs="Times New Roman" w:hint="eastAsia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 xml:space="preserve">metastasis. ly0, no lymphatic vessel invasion. ly1, </w:t>
      </w:r>
      <w:r>
        <w:rPr>
          <w:rFonts w:cs="Times New Roman"/>
          <w:color w:val="000000"/>
          <w:shd w:val="clear" w:color="auto" w:fill="FFFFFF"/>
        </w:rPr>
        <w:t xml:space="preserve">mild </w:t>
      </w:r>
      <w:r w:rsidRPr="00014E88">
        <w:rPr>
          <w:rFonts w:cs="Times New Roman"/>
          <w:color w:val="000000"/>
          <w:shd w:val="clear" w:color="auto" w:fill="FFFFFF"/>
        </w:rPr>
        <w:t>lymphatic vessel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invasion.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ly</w:t>
      </w:r>
      <w:r>
        <w:rPr>
          <w:rFonts w:cs="Times New Roman"/>
          <w:color w:val="000000"/>
          <w:shd w:val="clear" w:color="auto" w:fill="FFFFFF"/>
        </w:rPr>
        <w:t>2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 xml:space="preserve">moderate </w:t>
      </w:r>
      <w:r w:rsidRPr="00014E88">
        <w:rPr>
          <w:rFonts w:cs="Times New Roman"/>
          <w:color w:val="000000"/>
          <w:shd w:val="clear" w:color="auto" w:fill="FFFFFF"/>
        </w:rPr>
        <w:t>lymphatic vessel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invasion</w:t>
      </w:r>
      <w:r>
        <w:rPr>
          <w:rFonts w:cs="Times New Roman"/>
          <w:color w:val="000000"/>
          <w:shd w:val="clear" w:color="auto" w:fill="FFFFFF"/>
        </w:rPr>
        <w:t>.</w:t>
      </w:r>
      <w:r w:rsidRPr="00014E88">
        <w:rPr>
          <w:rFonts w:cs="Times New Roman"/>
          <w:color w:val="000000"/>
          <w:shd w:val="clear" w:color="auto" w:fill="FFFFFF"/>
        </w:rPr>
        <w:t xml:space="preserve"> v0, no venous invasion. v1, </w:t>
      </w:r>
      <w:r>
        <w:rPr>
          <w:rFonts w:cs="Times New Roman"/>
          <w:color w:val="000000"/>
          <w:shd w:val="clear" w:color="auto" w:fill="FFFFFF"/>
        </w:rPr>
        <w:t xml:space="preserve">mild </w:t>
      </w:r>
      <w:r w:rsidRPr="00014E88">
        <w:rPr>
          <w:rFonts w:cs="Times New Roman"/>
          <w:color w:val="000000"/>
          <w:shd w:val="clear" w:color="auto" w:fill="FFFFFF"/>
        </w:rPr>
        <w:t>venous invasion. v</w:t>
      </w:r>
      <w:r>
        <w:rPr>
          <w:rFonts w:cs="Times New Roman"/>
          <w:color w:val="000000"/>
          <w:shd w:val="clear" w:color="auto" w:fill="FFFFFF"/>
        </w:rPr>
        <w:t>2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 xml:space="preserve">moderate </w:t>
      </w:r>
      <w:r w:rsidRPr="00014E88">
        <w:rPr>
          <w:rFonts w:cs="Times New Roman"/>
          <w:color w:val="000000"/>
          <w:shd w:val="clear" w:color="auto" w:fill="FFFFFF"/>
        </w:rPr>
        <w:t>venous invasion.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v</w:t>
      </w:r>
      <w:r>
        <w:rPr>
          <w:rFonts w:cs="Times New Roman"/>
          <w:color w:val="000000"/>
          <w:shd w:val="clear" w:color="auto" w:fill="FFFFFF"/>
        </w:rPr>
        <w:t>3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 xml:space="preserve">severe </w:t>
      </w:r>
      <w:r w:rsidRPr="00014E88">
        <w:rPr>
          <w:rFonts w:cs="Times New Roman"/>
          <w:color w:val="000000"/>
          <w:shd w:val="clear" w:color="auto" w:fill="FFFFFF"/>
        </w:rPr>
        <w:t>venous invasion.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ne0, no perineural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invasion. ne1, mild perineural invasion. ne2, moderate perineural invasion.</w:t>
      </w:r>
      <w:r w:rsidRPr="00014E88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ne</w:t>
      </w:r>
      <w:r>
        <w:rPr>
          <w:rFonts w:cs="Times New Roman"/>
          <w:color w:val="000000"/>
          <w:shd w:val="clear" w:color="auto" w:fill="FFFFFF"/>
        </w:rPr>
        <w:t>3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>severe</w:t>
      </w:r>
      <w:r w:rsidRPr="00014E88">
        <w:rPr>
          <w:rFonts w:cs="Times New Roman"/>
          <w:color w:val="000000"/>
          <w:shd w:val="clear" w:color="auto" w:fill="FFFFFF"/>
        </w:rPr>
        <w:t xml:space="preserve"> perineural invasion.</w:t>
      </w:r>
      <w:r w:rsidR="00D56C0B">
        <w:rPr>
          <w:rFonts w:eastAsia="游明朝" w:cs="Times New Roman" w:hint="cs"/>
          <w:color w:val="000000"/>
          <w:shd w:val="clear" w:color="auto" w:fill="FFFFFF"/>
        </w:rPr>
        <w:t xml:space="preserve"> </w:t>
      </w:r>
      <w:r w:rsidR="00D56C0B">
        <w:rPr>
          <w:rFonts w:eastAsia="游明朝" w:cs="Times New Roman"/>
          <w:color w:val="000000"/>
          <w:shd w:val="clear" w:color="auto" w:fill="FFFFFF"/>
        </w:rPr>
        <w:t>See Supplementary File 1 Table 1-source data1.</w:t>
      </w:r>
    </w:p>
    <w:p w14:paraId="2F7F34A3" w14:textId="77777777" w:rsidR="00EB72A1" w:rsidRPr="005C3819" w:rsidRDefault="00EB72A1" w:rsidP="00EB72A1">
      <w:pPr>
        <w:widowControl/>
        <w:spacing w:line="24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5C3819">
        <w:rPr>
          <w:rFonts w:ascii="Arial" w:hAnsi="Arial" w:cs="Arial"/>
          <w:b/>
          <w:bCs/>
          <w:sz w:val="20"/>
          <w:szCs w:val="20"/>
        </w:rPr>
        <w:br w:type="page"/>
      </w:r>
    </w:p>
    <w:p w14:paraId="3E1330C0" w14:textId="6ECA4B72" w:rsidR="00EB72A1" w:rsidRPr="00AF5BD0" w:rsidRDefault="00EB72A1" w:rsidP="00EB72A1">
      <w:pPr>
        <w:spacing w:line="48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Supplementary File 1 </w:t>
      </w:r>
      <w:r w:rsidRPr="0083010C">
        <w:rPr>
          <w:rFonts w:cs="Times New Roman"/>
          <w:b/>
          <w:bCs/>
          <w:szCs w:val="24"/>
        </w:rPr>
        <w:t xml:space="preserve">Table </w:t>
      </w:r>
      <w:r>
        <w:rPr>
          <w:rFonts w:cs="Times New Roman"/>
          <w:b/>
          <w:bCs/>
          <w:szCs w:val="24"/>
        </w:rPr>
        <w:t>2</w:t>
      </w:r>
      <w:r w:rsidRPr="00AF5BD0">
        <w:rPr>
          <w:rFonts w:cs="Times New Roman"/>
          <w:b/>
          <w:bCs/>
          <w:szCs w:val="24"/>
        </w:rPr>
        <w:t>.</w:t>
      </w:r>
      <w:r w:rsidRPr="00AF5BD0">
        <w:rPr>
          <w:rFonts w:cs="Times New Roman"/>
          <w:szCs w:val="24"/>
        </w:rPr>
        <w:t xml:space="preserve"> The list of ARL4C binding proteins</w:t>
      </w:r>
    </w:p>
    <w:tbl>
      <w:tblPr>
        <w:tblW w:w="3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2725"/>
      </w:tblGrid>
      <w:tr w:rsidR="00EB72A1" w:rsidRPr="005C3819" w14:paraId="2561D249" w14:textId="77777777" w:rsidTr="00D56C0B">
        <w:trPr>
          <w:trHeight w:val="264"/>
        </w:trPr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1FFEF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Band number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4208E" w14:textId="4FC77A5B" w:rsidR="00EB72A1" w:rsidRPr="005C3819" w:rsidRDefault="00D56C0B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Identified Protein</w:t>
            </w:r>
          </w:p>
        </w:tc>
      </w:tr>
      <w:tr w:rsidR="00EB72A1" w:rsidRPr="005C3819" w14:paraId="4731F19F" w14:textId="77777777" w:rsidTr="00D56C0B">
        <w:trPr>
          <w:trHeight w:val="264"/>
        </w:trPr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12A3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C21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PRKDC</w:t>
            </w:r>
          </w:p>
        </w:tc>
      </w:tr>
      <w:tr w:rsidR="00EB72A1" w:rsidRPr="005C3819" w14:paraId="0B835B55" w14:textId="77777777" w:rsidTr="00D56C0B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4CBB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985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IQGAP1</w:t>
            </w:r>
          </w:p>
        </w:tc>
      </w:tr>
      <w:tr w:rsidR="00EB72A1" w:rsidRPr="005C3819" w14:paraId="221BF6D4" w14:textId="77777777" w:rsidTr="00D56C0B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81C1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939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IARS</w:t>
            </w:r>
          </w:p>
        </w:tc>
      </w:tr>
      <w:tr w:rsidR="00EB72A1" w:rsidRPr="005C3819" w14:paraId="48D20D42" w14:textId="77777777" w:rsidTr="00D56C0B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D6DE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D0CD" w14:textId="203A34C1" w:rsidR="00EB72A1" w:rsidRPr="005C3819" w:rsidRDefault="00D56C0B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DHX9, </w:t>
            </w:r>
            <w:r w:rsidR="00EB72A1"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SMC3</w:t>
            </w:r>
          </w:p>
        </w:tc>
      </w:tr>
      <w:tr w:rsidR="00EB72A1" w:rsidRPr="005C3819" w14:paraId="56425E2F" w14:textId="77777777" w:rsidTr="00D56C0B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6D13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5269" w14:textId="7FD20618" w:rsidR="00EB72A1" w:rsidRPr="005C3819" w:rsidRDefault="00D56C0B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ARP1, MATR3, HNRNPU</w:t>
            </w:r>
          </w:p>
        </w:tc>
      </w:tr>
      <w:tr w:rsidR="00EB72A1" w:rsidRPr="005C3819" w14:paraId="7E0276A7" w14:textId="77777777" w:rsidTr="00D56C0B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1B52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085B" w14:textId="174FF363" w:rsidR="00EB72A1" w:rsidRPr="005C3819" w:rsidRDefault="00D56C0B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CL</w:t>
            </w:r>
          </w:p>
        </w:tc>
      </w:tr>
    </w:tbl>
    <w:p w14:paraId="06DE2B4D" w14:textId="348E910E" w:rsidR="00EB72A1" w:rsidRDefault="00EB72A1" w:rsidP="00EB72A1">
      <w:pPr>
        <w:spacing w:line="480" w:lineRule="auto"/>
        <w:rPr>
          <w:rFonts w:cs="Times New Roman"/>
          <w:szCs w:val="24"/>
        </w:rPr>
      </w:pPr>
      <w:r w:rsidRPr="00F14451">
        <w:rPr>
          <w:rFonts w:cs="Times New Roman"/>
          <w:szCs w:val="24"/>
        </w:rPr>
        <w:t>The list of ARL4C binding proteins was shown.</w:t>
      </w:r>
      <w:r w:rsidR="00D56C0B">
        <w:rPr>
          <w:rFonts w:cs="Times New Roman"/>
          <w:szCs w:val="24"/>
        </w:rPr>
        <w:t xml:space="preserve"> See </w:t>
      </w:r>
      <w:r w:rsidR="00D56C0B">
        <w:rPr>
          <w:rFonts w:eastAsia="游明朝" w:cs="Times New Roman"/>
          <w:color w:val="000000"/>
          <w:shd w:val="clear" w:color="auto" w:fill="FFFFFF"/>
        </w:rPr>
        <w:t>Supplementary File 1 Table 2-source data1.</w:t>
      </w:r>
    </w:p>
    <w:p w14:paraId="142FD928" w14:textId="77777777" w:rsidR="00EB72A1" w:rsidRPr="003B2395" w:rsidRDefault="00EB72A1" w:rsidP="00EB72A1">
      <w:pPr>
        <w:spacing w:line="480" w:lineRule="auto"/>
        <w:rPr>
          <w:rFonts w:ascii="Arial" w:hAnsi="Arial" w:cs="Arial"/>
          <w:sz w:val="20"/>
          <w:szCs w:val="20"/>
        </w:rPr>
      </w:pPr>
      <w:r w:rsidRPr="005C3819">
        <w:rPr>
          <w:rFonts w:ascii="Arial" w:hAnsi="Arial" w:cs="Arial"/>
          <w:b/>
          <w:bCs/>
          <w:sz w:val="20"/>
          <w:szCs w:val="20"/>
        </w:rPr>
        <w:br w:type="page"/>
      </w:r>
    </w:p>
    <w:p w14:paraId="0AAA7F25" w14:textId="37EF3114" w:rsidR="00EB72A1" w:rsidRPr="00AF5BD0" w:rsidRDefault="00EB72A1" w:rsidP="00EB72A1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Supplementary File 1 </w:t>
      </w:r>
      <w:r w:rsidRPr="0083010C">
        <w:rPr>
          <w:rFonts w:cs="Times New Roman"/>
          <w:b/>
          <w:bCs/>
          <w:szCs w:val="24"/>
        </w:rPr>
        <w:t xml:space="preserve">Table </w:t>
      </w:r>
      <w:r>
        <w:rPr>
          <w:rFonts w:cs="Times New Roman"/>
          <w:b/>
          <w:bCs/>
          <w:szCs w:val="24"/>
        </w:rPr>
        <w:t>3</w:t>
      </w:r>
      <w:r w:rsidRPr="00AF5BD0">
        <w:rPr>
          <w:rFonts w:cs="Times New Roman"/>
          <w:b/>
          <w:bCs/>
          <w:szCs w:val="24"/>
        </w:rPr>
        <w:t>.</w:t>
      </w:r>
      <w:r w:rsidRPr="00AF5BD0">
        <w:rPr>
          <w:rFonts w:cs="Times New Roman"/>
          <w:szCs w:val="24"/>
        </w:rPr>
        <w:t xml:space="preserve"> Clinicopathological features of high and low IQGAP1 expression in PDAC.</w:t>
      </w:r>
    </w:p>
    <w:tbl>
      <w:tblPr>
        <w:tblW w:w="76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0"/>
        <w:gridCol w:w="1713"/>
        <w:gridCol w:w="1288"/>
        <w:gridCol w:w="1263"/>
        <w:gridCol w:w="857"/>
      </w:tblGrid>
      <w:tr w:rsidR="00EB72A1" w:rsidRPr="005C3819" w14:paraId="04B3073A" w14:textId="77777777" w:rsidTr="001C0D9D">
        <w:trPr>
          <w:trHeight w:val="528"/>
        </w:trPr>
        <w:tc>
          <w:tcPr>
            <w:tcW w:w="2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C56FA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Parameters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198ED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48959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High IQGAP1</w:t>
            </w: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br/>
              <w:t>cases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5FF96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Low IQGAP1 cases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AF8AF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EB72A1" w:rsidRPr="005C3819" w14:paraId="0283DB00" w14:textId="77777777" w:rsidTr="001C0D9D">
        <w:trPr>
          <w:trHeight w:val="264"/>
        </w:trPr>
        <w:tc>
          <w:tcPr>
            <w:tcW w:w="2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F1A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Stage</w:t>
            </w:r>
          </w:p>
        </w:tc>
        <w:tc>
          <w:tcPr>
            <w:tcW w:w="1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1BE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IA-IIA</w:t>
            </w:r>
          </w:p>
        </w:tc>
        <w:tc>
          <w:tcPr>
            <w:tcW w:w="128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92B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14(53.8%)</w:t>
            </w:r>
          </w:p>
        </w:tc>
        <w:tc>
          <w:tcPr>
            <w:tcW w:w="12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0F04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7" w:type="dxa"/>
            <w:vMerge w:val="restart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8C254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B72A1" w:rsidRPr="005C3819" w14:paraId="434C29B8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5313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EF1B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IIB-III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CC4D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17(54.8%)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741A4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FE27D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298E841D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48E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 classification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276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T1/2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7D1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5(55.6%)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E44B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AF965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B72A1" w:rsidRPr="005C3819" w14:paraId="57231EBC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F201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E8D6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3CF7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26(54.2%)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9AA72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BC981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298ACAD4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F97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 classification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755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6BE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14(53.8%)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F460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AEBF4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B72A1" w:rsidRPr="005C3819" w14:paraId="56712809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4030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4FF7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9E6A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17(54.8%)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26DC2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99843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1F23407D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D21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Lymphatic vessel invasion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822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ly0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969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8(44.4%)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EDD5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4C917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0.39</w:t>
            </w:r>
          </w:p>
        </w:tc>
      </w:tr>
      <w:tr w:rsidR="00EB72A1" w:rsidRPr="005C3819" w14:paraId="382533C3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DB9A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8F98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ly1/2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9045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23(59.0%)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91B3B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96902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625483E8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829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Venous invasion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21B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v0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462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18(52.9%)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AD8D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2AA1A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B72A1" w:rsidRPr="005C3819" w14:paraId="1295CEC1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5484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396D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v1/2/3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E093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13(56.5%)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4B11D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7B847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7E56B4DC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8FF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Perineural invasion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C60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ne0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F4F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3(60.0%)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C6EC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531DC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B72A1" w:rsidRPr="005C3819" w14:paraId="1E203E3A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56A5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E30C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ne1/2/3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2F91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28(53.8%)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AF8A4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D18D2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5B1AB743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E79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B39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&lt;65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EF1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9(56.3%)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F86D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04F9C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B72A1" w:rsidRPr="005C3819" w14:paraId="17B0807F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569E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C5DE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≧</w:t>
            </w: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ADCA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22(53.7%)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FD0EE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0F014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79630840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461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359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2CD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16(53.3%)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EA0E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4EC89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B72A1" w:rsidRPr="005C3819" w14:paraId="412297D4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0803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3159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045B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15(55.6%)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FE4C9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58C24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285B7514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7F0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Tumor location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EF4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Head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734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8(42.1%)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5305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B3B2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0.26</w:t>
            </w:r>
          </w:p>
        </w:tc>
      </w:tr>
      <w:tr w:rsidR="00EB72A1" w:rsidRPr="005C3819" w14:paraId="1354F77F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749B2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30BC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Body and/or Tail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8A50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23(60.5%)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F79BA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D7DE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DA76E8F" w14:textId="77777777" w:rsidR="00EB72A1" w:rsidRPr="003B2395" w:rsidRDefault="00EB72A1" w:rsidP="00EB72A1">
      <w:pPr>
        <w:spacing w:line="240" w:lineRule="auto"/>
        <w:rPr>
          <w:rFonts w:ascii="Arial" w:eastAsia="游明朝" w:hAnsi="Arial" w:cs="Arial"/>
          <w:sz w:val="20"/>
          <w:szCs w:val="20"/>
        </w:rPr>
      </w:pPr>
      <w:r>
        <w:rPr>
          <w:rFonts w:cs="Times New Roman"/>
          <w:color w:val="000000"/>
          <w:shd w:val="clear" w:color="auto" w:fill="FFFFFF"/>
        </w:rPr>
        <w:t>Associations between IQGAP1 expression and the clinicopathologic characteristics were investigated.</w:t>
      </w:r>
      <w:r w:rsidRPr="001B451B">
        <w:rPr>
          <w:rFonts w:cs="Times New Roman"/>
          <w:i/>
          <w:iCs/>
          <w:szCs w:val="24"/>
        </w:rPr>
        <w:t xml:space="preserve"> P</w:t>
      </w:r>
      <w:r>
        <w:rPr>
          <w:rFonts w:cs="Times New Roman"/>
          <w:szCs w:val="24"/>
        </w:rPr>
        <w:t xml:space="preserve"> value</w:t>
      </w:r>
      <w:r w:rsidRPr="001B451B">
        <w:rPr>
          <w:rFonts w:cs="Times New Roman"/>
          <w:szCs w:val="24"/>
        </w:rPr>
        <w:t xml:space="preserve">s were calculated using </w:t>
      </w:r>
      <w:r>
        <w:rPr>
          <w:rFonts w:cs="Times New Roman"/>
          <w:color w:val="000000"/>
          <w:shd w:val="clear" w:color="auto" w:fill="FFFFFF"/>
        </w:rPr>
        <w:t xml:space="preserve">the Chi-square test. </w:t>
      </w:r>
      <w:r w:rsidRPr="00014E88">
        <w:rPr>
          <w:rFonts w:cs="Times New Roman"/>
          <w:color w:val="000000"/>
          <w:shd w:val="clear" w:color="auto" w:fill="FFFFFF"/>
        </w:rPr>
        <w:t>T1, tumor limited to the pancreas, 2 cm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or less in greatest dimension. T2, tumor limited to the pancreas, more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than 2 cm in greatest dimension. T3, tumor extends beyond the pancreas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but without involvement of the celiac axis or the superior mesenteric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artery. N0, no regional lymph node metastasis. N1, regional lymph node</w:t>
      </w:r>
      <w:r>
        <w:rPr>
          <w:rFonts w:ascii="游明朝" w:eastAsia="游明朝" w:hAnsi="游明朝" w:cs="Times New Roman" w:hint="eastAsia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 xml:space="preserve">metastasis. ly0, no lymphatic vessel invasion. ly1, </w:t>
      </w:r>
      <w:r>
        <w:rPr>
          <w:rFonts w:cs="Times New Roman"/>
          <w:color w:val="000000"/>
          <w:shd w:val="clear" w:color="auto" w:fill="FFFFFF"/>
        </w:rPr>
        <w:t xml:space="preserve">mild </w:t>
      </w:r>
      <w:r w:rsidRPr="00014E88">
        <w:rPr>
          <w:rFonts w:cs="Times New Roman"/>
          <w:color w:val="000000"/>
          <w:shd w:val="clear" w:color="auto" w:fill="FFFFFF"/>
        </w:rPr>
        <w:t>lymphatic vessel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invasion.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ly</w:t>
      </w:r>
      <w:r>
        <w:rPr>
          <w:rFonts w:cs="Times New Roman"/>
          <w:color w:val="000000"/>
          <w:shd w:val="clear" w:color="auto" w:fill="FFFFFF"/>
        </w:rPr>
        <w:t>2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 xml:space="preserve">moderate </w:t>
      </w:r>
      <w:r w:rsidRPr="00014E88">
        <w:rPr>
          <w:rFonts w:cs="Times New Roman"/>
          <w:color w:val="000000"/>
          <w:shd w:val="clear" w:color="auto" w:fill="FFFFFF"/>
        </w:rPr>
        <w:t>lymphatic vessel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invasion</w:t>
      </w:r>
      <w:r>
        <w:rPr>
          <w:rFonts w:cs="Times New Roman"/>
          <w:color w:val="000000"/>
          <w:shd w:val="clear" w:color="auto" w:fill="FFFFFF"/>
        </w:rPr>
        <w:t>.</w:t>
      </w:r>
      <w:r w:rsidRPr="00014E88">
        <w:rPr>
          <w:rFonts w:cs="Times New Roman"/>
          <w:color w:val="000000"/>
          <w:shd w:val="clear" w:color="auto" w:fill="FFFFFF"/>
        </w:rPr>
        <w:t xml:space="preserve"> v0, no venous invasion. v1, </w:t>
      </w:r>
      <w:r>
        <w:rPr>
          <w:rFonts w:cs="Times New Roman"/>
          <w:color w:val="000000"/>
          <w:shd w:val="clear" w:color="auto" w:fill="FFFFFF"/>
        </w:rPr>
        <w:t xml:space="preserve">mild </w:t>
      </w:r>
      <w:r w:rsidRPr="00014E88">
        <w:rPr>
          <w:rFonts w:cs="Times New Roman"/>
          <w:color w:val="000000"/>
          <w:shd w:val="clear" w:color="auto" w:fill="FFFFFF"/>
        </w:rPr>
        <w:t>venous invasion. v</w:t>
      </w:r>
      <w:r>
        <w:rPr>
          <w:rFonts w:cs="Times New Roman"/>
          <w:color w:val="000000"/>
          <w:shd w:val="clear" w:color="auto" w:fill="FFFFFF"/>
        </w:rPr>
        <w:t>2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 xml:space="preserve">moderate </w:t>
      </w:r>
      <w:r w:rsidRPr="00014E88">
        <w:rPr>
          <w:rFonts w:cs="Times New Roman"/>
          <w:color w:val="000000"/>
          <w:shd w:val="clear" w:color="auto" w:fill="FFFFFF"/>
        </w:rPr>
        <w:t>venous invasion.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v</w:t>
      </w:r>
      <w:r>
        <w:rPr>
          <w:rFonts w:cs="Times New Roman"/>
          <w:color w:val="000000"/>
          <w:shd w:val="clear" w:color="auto" w:fill="FFFFFF"/>
        </w:rPr>
        <w:t>3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 xml:space="preserve">severe </w:t>
      </w:r>
      <w:r w:rsidRPr="00014E88">
        <w:rPr>
          <w:rFonts w:cs="Times New Roman"/>
          <w:color w:val="000000"/>
          <w:shd w:val="clear" w:color="auto" w:fill="FFFFFF"/>
        </w:rPr>
        <w:t>venous invasion.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ne0, no perineural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invasion. ne1, mild perineural invasion. ne2, moderate perineural invasion.</w:t>
      </w:r>
      <w:r w:rsidRPr="00014E88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ne</w:t>
      </w:r>
      <w:r>
        <w:rPr>
          <w:rFonts w:cs="Times New Roman"/>
          <w:color w:val="000000"/>
          <w:shd w:val="clear" w:color="auto" w:fill="FFFFFF"/>
        </w:rPr>
        <w:t>3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>severe</w:t>
      </w:r>
      <w:r w:rsidRPr="00014E88">
        <w:rPr>
          <w:rFonts w:cs="Times New Roman"/>
          <w:color w:val="000000"/>
          <w:shd w:val="clear" w:color="auto" w:fill="FFFFFF"/>
        </w:rPr>
        <w:t xml:space="preserve"> perineural invasion.</w:t>
      </w:r>
    </w:p>
    <w:p w14:paraId="5B49349C" w14:textId="77777777" w:rsidR="00EB72A1" w:rsidRPr="005C3819" w:rsidRDefault="00EB72A1" w:rsidP="00EB72A1">
      <w:pPr>
        <w:widowControl/>
        <w:spacing w:line="480" w:lineRule="auto"/>
        <w:jc w:val="left"/>
        <w:rPr>
          <w:rFonts w:ascii="Arial" w:hAnsi="Arial" w:cs="Arial"/>
          <w:b/>
          <w:bCs/>
          <w:color w:val="FF0000"/>
          <w:sz w:val="20"/>
          <w:szCs w:val="20"/>
        </w:rPr>
      </w:pPr>
      <w:r w:rsidRPr="005C3819">
        <w:rPr>
          <w:rFonts w:ascii="Arial" w:hAnsi="Arial" w:cs="Arial"/>
          <w:b/>
          <w:bCs/>
          <w:color w:val="FF0000"/>
          <w:sz w:val="20"/>
          <w:szCs w:val="20"/>
        </w:rPr>
        <w:br w:type="page"/>
      </w:r>
    </w:p>
    <w:p w14:paraId="22741FF0" w14:textId="05FE0104" w:rsidR="00EB72A1" w:rsidRPr="00AF5BD0" w:rsidRDefault="00EB72A1" w:rsidP="00EB72A1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Supplementary File 1 </w:t>
      </w:r>
      <w:r w:rsidRPr="0083010C">
        <w:rPr>
          <w:rFonts w:cs="Times New Roman"/>
          <w:b/>
          <w:bCs/>
          <w:szCs w:val="24"/>
        </w:rPr>
        <w:t xml:space="preserve">Table </w:t>
      </w:r>
      <w:r>
        <w:rPr>
          <w:rFonts w:cs="Times New Roman"/>
          <w:b/>
          <w:bCs/>
          <w:szCs w:val="24"/>
        </w:rPr>
        <w:t>4</w:t>
      </w:r>
      <w:r w:rsidRPr="00AF5BD0">
        <w:rPr>
          <w:rFonts w:cs="Times New Roman"/>
          <w:b/>
          <w:bCs/>
          <w:szCs w:val="24"/>
        </w:rPr>
        <w:t>.</w:t>
      </w:r>
      <w:r w:rsidRPr="00AF5BD0">
        <w:rPr>
          <w:rFonts w:cs="Times New Roman"/>
          <w:szCs w:val="24"/>
        </w:rPr>
        <w:t xml:space="preserve"> Clinicopathological features of high and low ARL4C expression in PDAC with high IQGAP1 expression.</w:t>
      </w:r>
    </w:p>
    <w:tbl>
      <w:tblPr>
        <w:tblW w:w="83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0"/>
        <w:gridCol w:w="1880"/>
        <w:gridCol w:w="1421"/>
        <w:gridCol w:w="1421"/>
        <w:gridCol w:w="1060"/>
      </w:tblGrid>
      <w:tr w:rsidR="00EB72A1" w:rsidRPr="005C3819" w14:paraId="62D1C2AF" w14:textId="77777777" w:rsidTr="001C0D9D">
        <w:trPr>
          <w:trHeight w:val="648"/>
        </w:trPr>
        <w:tc>
          <w:tcPr>
            <w:tcW w:w="2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9F6CE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Parameters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E14A7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B2003" w14:textId="77777777" w:rsidR="00EB72A1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igh</w:t>
            </w:r>
          </w:p>
          <w:p w14:paraId="5137E8A8" w14:textId="77777777" w:rsidR="00EB72A1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ARL4C</w:t>
            </w:r>
          </w:p>
          <w:p w14:paraId="68E55F81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cases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DB5F9" w14:textId="77777777" w:rsidR="00EB72A1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ow</w:t>
            </w:r>
          </w:p>
          <w:p w14:paraId="518AF0B1" w14:textId="77777777" w:rsidR="00EB72A1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ARL4C</w:t>
            </w:r>
          </w:p>
          <w:p w14:paraId="5A408AF8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cases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02FAC" w14:textId="77777777" w:rsidR="00EB72A1" w:rsidRPr="005C3819" w:rsidRDefault="00EB72A1" w:rsidP="001C0D9D">
            <w:pPr>
              <w:widowControl/>
              <w:spacing w:line="200" w:lineRule="exact"/>
              <w:jc w:val="center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C3819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EB72A1" w:rsidRPr="005C3819" w14:paraId="000724C8" w14:textId="77777777" w:rsidTr="001C0D9D">
        <w:trPr>
          <w:trHeight w:val="264"/>
        </w:trPr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8E5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Stage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6BA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IA-IIA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CDC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11(78.6%)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912D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0609C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EB72A1" w:rsidRPr="005C3819" w14:paraId="40C052FE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AB38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6BFC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IIB-III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7119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16(94.1%)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A12BC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3DAA7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1D75E54A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BEF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 classification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5B7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T1/2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5AC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3(60.0%)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D591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501E2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0.11</w:t>
            </w:r>
          </w:p>
        </w:tc>
      </w:tr>
      <w:tr w:rsidR="00EB72A1" w:rsidRPr="005C3819" w14:paraId="26789DD5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A057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0D8A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3AB5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24(92.3%)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14FC5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CE329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325E77C6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C45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 classification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9D1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356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11(78.6%)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67AC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E1092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EB72A1" w:rsidRPr="005C3819" w14:paraId="47B7A13D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5AC6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33A6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4D67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16(94.1%)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3700A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7DF1F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5A79317A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703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Lymphatic vessel invasion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934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ly0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8F9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7(87.5%)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8568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D9490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B72A1" w:rsidRPr="005C3819" w14:paraId="48F0DCAA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BF50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2FF7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ly1/2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FDC8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20(87.0%)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C5F38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4DACF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4CE63D07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3F4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Venous invasion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22C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v0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C97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15(83.3%)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C0C7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96C23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0.62</w:t>
            </w:r>
          </w:p>
        </w:tc>
      </w:tr>
      <w:tr w:rsidR="00EB72A1" w:rsidRPr="005C3819" w14:paraId="7156F99C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005D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DE4B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v1/2/3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B72B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12(92.3%)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C4EC4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C673D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49AB357F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D54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Perineural invasion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C52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ne0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6A7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1(33.3%)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513F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79FD3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0.037</w:t>
            </w:r>
          </w:p>
        </w:tc>
      </w:tr>
      <w:tr w:rsidR="00EB72A1" w:rsidRPr="005C3819" w14:paraId="57DF0B10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02CC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3318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ne1/2/3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0C4D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26(92.9%)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C450C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41A83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3D1DD8F8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50C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FF0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&lt;65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228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6(66.7%)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BDEF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03D56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0.063</w:t>
            </w:r>
          </w:p>
        </w:tc>
      </w:tr>
      <w:tr w:rsidR="00EB72A1" w:rsidRPr="005C3819" w14:paraId="10693545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97BE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4518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≧</w:t>
            </w: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74E8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21(95.5%)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C5F45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5FA5D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7511F3C8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529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190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5DB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15(93.8%)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C074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5DCBD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0.33</w:t>
            </w:r>
          </w:p>
        </w:tc>
      </w:tr>
      <w:tr w:rsidR="00EB72A1" w:rsidRPr="005C3819" w14:paraId="7347A10F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2378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99AF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A32B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12(80.0%)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99464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5E935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36754EAB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39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Tumor location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542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Head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A9F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20(87.0%)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4E1B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58CB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B72A1" w:rsidRPr="005C3819" w14:paraId="2D1F5205" w14:textId="77777777" w:rsidTr="001C0D9D">
        <w:trPr>
          <w:trHeight w:val="264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7D7C1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CD49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Body and/or Tail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477A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7(87.5%)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F107E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88EE9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59A4756" w14:textId="77777777" w:rsidR="00EB72A1" w:rsidRPr="005C3819" w:rsidRDefault="00EB72A1" w:rsidP="00EB72A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cs="Times New Roman"/>
          <w:color w:val="000000"/>
          <w:shd w:val="clear" w:color="auto" w:fill="FFFFFF"/>
        </w:rPr>
        <w:t>Associations between ARL4C expression in PDAC with high IQGAP1 expression and the clinicopathologic characteristics were investigated.</w:t>
      </w:r>
      <w:r w:rsidRPr="001B451B">
        <w:rPr>
          <w:rFonts w:cs="Times New Roman"/>
          <w:i/>
          <w:iCs/>
          <w:szCs w:val="24"/>
        </w:rPr>
        <w:t xml:space="preserve"> P</w:t>
      </w:r>
      <w:r>
        <w:rPr>
          <w:rFonts w:cs="Times New Roman"/>
          <w:szCs w:val="24"/>
        </w:rPr>
        <w:t xml:space="preserve"> value</w:t>
      </w:r>
      <w:r w:rsidRPr="001B451B">
        <w:rPr>
          <w:rFonts w:cs="Times New Roman"/>
          <w:szCs w:val="24"/>
        </w:rPr>
        <w:t xml:space="preserve">s were calculated using </w:t>
      </w:r>
      <w:r>
        <w:rPr>
          <w:rFonts w:cs="Times New Roman"/>
          <w:color w:val="000000"/>
          <w:shd w:val="clear" w:color="auto" w:fill="FFFFFF"/>
        </w:rPr>
        <w:t xml:space="preserve">the Chi-square test. </w:t>
      </w:r>
      <w:r w:rsidRPr="00014E88">
        <w:rPr>
          <w:rFonts w:cs="Times New Roman"/>
          <w:color w:val="000000"/>
          <w:shd w:val="clear" w:color="auto" w:fill="FFFFFF"/>
        </w:rPr>
        <w:t>T1, tumor limited to the pancreas, 2 cm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or less in greatest dimension. T2, tumor limited to the pancreas, more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than 2 cm in greatest dimension. T3, tumor extends beyond the pancreas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but without involvement of the celiac axis or the superior mesenteric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artery. N0, no regional lymph node metastasis. N1, regional lymph node</w:t>
      </w:r>
      <w:r>
        <w:rPr>
          <w:rFonts w:ascii="游明朝" w:eastAsia="游明朝" w:hAnsi="游明朝" w:cs="Times New Roman" w:hint="eastAsia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 xml:space="preserve">metastasis. ly0, no lymphatic vessel invasion. ly1, </w:t>
      </w:r>
      <w:r>
        <w:rPr>
          <w:rFonts w:cs="Times New Roman"/>
          <w:color w:val="000000"/>
          <w:shd w:val="clear" w:color="auto" w:fill="FFFFFF"/>
        </w:rPr>
        <w:t xml:space="preserve">mild </w:t>
      </w:r>
      <w:r w:rsidRPr="00014E88">
        <w:rPr>
          <w:rFonts w:cs="Times New Roman"/>
          <w:color w:val="000000"/>
          <w:shd w:val="clear" w:color="auto" w:fill="FFFFFF"/>
        </w:rPr>
        <w:t>lymphatic vessel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invasion.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ly</w:t>
      </w:r>
      <w:r>
        <w:rPr>
          <w:rFonts w:cs="Times New Roman"/>
          <w:color w:val="000000"/>
          <w:shd w:val="clear" w:color="auto" w:fill="FFFFFF"/>
        </w:rPr>
        <w:t>2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 xml:space="preserve">moderate </w:t>
      </w:r>
      <w:r w:rsidRPr="00014E88">
        <w:rPr>
          <w:rFonts w:cs="Times New Roman"/>
          <w:color w:val="000000"/>
          <w:shd w:val="clear" w:color="auto" w:fill="FFFFFF"/>
        </w:rPr>
        <w:t>lymphatic vessel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invasion</w:t>
      </w:r>
      <w:r>
        <w:rPr>
          <w:rFonts w:cs="Times New Roman"/>
          <w:color w:val="000000"/>
          <w:shd w:val="clear" w:color="auto" w:fill="FFFFFF"/>
        </w:rPr>
        <w:t>.</w:t>
      </w:r>
      <w:r w:rsidRPr="00014E88">
        <w:rPr>
          <w:rFonts w:cs="Times New Roman"/>
          <w:color w:val="000000"/>
          <w:shd w:val="clear" w:color="auto" w:fill="FFFFFF"/>
        </w:rPr>
        <w:t xml:space="preserve"> v0, no venous invasion. v1, </w:t>
      </w:r>
      <w:r>
        <w:rPr>
          <w:rFonts w:cs="Times New Roman"/>
          <w:color w:val="000000"/>
          <w:shd w:val="clear" w:color="auto" w:fill="FFFFFF"/>
        </w:rPr>
        <w:t xml:space="preserve">mild </w:t>
      </w:r>
      <w:r w:rsidRPr="00014E88">
        <w:rPr>
          <w:rFonts w:cs="Times New Roman"/>
          <w:color w:val="000000"/>
          <w:shd w:val="clear" w:color="auto" w:fill="FFFFFF"/>
        </w:rPr>
        <w:t>venous invasion. v</w:t>
      </w:r>
      <w:r>
        <w:rPr>
          <w:rFonts w:cs="Times New Roman"/>
          <w:color w:val="000000"/>
          <w:shd w:val="clear" w:color="auto" w:fill="FFFFFF"/>
        </w:rPr>
        <w:t>2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 xml:space="preserve">moderate </w:t>
      </w:r>
      <w:r w:rsidRPr="00014E88">
        <w:rPr>
          <w:rFonts w:cs="Times New Roman"/>
          <w:color w:val="000000"/>
          <w:shd w:val="clear" w:color="auto" w:fill="FFFFFF"/>
        </w:rPr>
        <w:t>venous invasion.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v</w:t>
      </w:r>
      <w:r>
        <w:rPr>
          <w:rFonts w:cs="Times New Roman"/>
          <w:color w:val="000000"/>
          <w:shd w:val="clear" w:color="auto" w:fill="FFFFFF"/>
        </w:rPr>
        <w:t>3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 xml:space="preserve">severe </w:t>
      </w:r>
      <w:r w:rsidRPr="00014E88">
        <w:rPr>
          <w:rFonts w:cs="Times New Roman"/>
          <w:color w:val="000000"/>
          <w:shd w:val="clear" w:color="auto" w:fill="FFFFFF"/>
        </w:rPr>
        <w:t>venous invasion.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ne0, no perineural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invasion. ne1, mild perineural invasion. ne2, moderate perineural invasion.</w:t>
      </w:r>
      <w:r w:rsidRPr="00014E88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014E88">
        <w:rPr>
          <w:rFonts w:cs="Times New Roman"/>
          <w:color w:val="000000"/>
          <w:shd w:val="clear" w:color="auto" w:fill="FFFFFF"/>
        </w:rPr>
        <w:t>ne</w:t>
      </w:r>
      <w:r>
        <w:rPr>
          <w:rFonts w:cs="Times New Roman"/>
          <w:color w:val="000000"/>
          <w:shd w:val="clear" w:color="auto" w:fill="FFFFFF"/>
        </w:rPr>
        <w:t>3</w:t>
      </w:r>
      <w:r w:rsidRPr="00014E88"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color w:val="000000"/>
          <w:shd w:val="clear" w:color="auto" w:fill="FFFFFF"/>
        </w:rPr>
        <w:t>severe</w:t>
      </w:r>
      <w:r w:rsidRPr="00014E88">
        <w:rPr>
          <w:rFonts w:cs="Times New Roman"/>
          <w:color w:val="000000"/>
          <w:shd w:val="clear" w:color="auto" w:fill="FFFFFF"/>
        </w:rPr>
        <w:t xml:space="preserve"> perineural invasion.</w:t>
      </w:r>
    </w:p>
    <w:p w14:paraId="2AAF6697" w14:textId="77777777" w:rsidR="00EB72A1" w:rsidRPr="005C3819" w:rsidRDefault="00EB72A1" w:rsidP="00EB72A1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5C3819">
        <w:rPr>
          <w:rFonts w:ascii="Arial" w:hAnsi="Arial" w:cs="Arial"/>
          <w:sz w:val="20"/>
          <w:szCs w:val="20"/>
        </w:rPr>
        <w:br w:type="page"/>
      </w:r>
    </w:p>
    <w:p w14:paraId="25FF791C" w14:textId="7D4B8C2E" w:rsidR="00EB72A1" w:rsidRPr="00AF5BD0" w:rsidRDefault="00EB72A1" w:rsidP="00EB72A1">
      <w:pPr>
        <w:spacing w:line="48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Supplementary File 1 </w:t>
      </w:r>
      <w:r w:rsidRPr="0083010C">
        <w:rPr>
          <w:rFonts w:cs="Times New Roman"/>
          <w:b/>
          <w:bCs/>
          <w:szCs w:val="24"/>
        </w:rPr>
        <w:t xml:space="preserve">Table </w:t>
      </w:r>
      <w:r>
        <w:rPr>
          <w:rFonts w:cs="Times New Roman"/>
          <w:b/>
          <w:bCs/>
          <w:szCs w:val="24"/>
        </w:rPr>
        <w:t>5</w:t>
      </w:r>
      <w:r w:rsidRPr="00AF5BD0">
        <w:rPr>
          <w:rFonts w:cs="Times New Roman"/>
          <w:b/>
          <w:bCs/>
          <w:szCs w:val="24"/>
        </w:rPr>
        <w:t xml:space="preserve">. </w:t>
      </w:r>
      <w:r w:rsidRPr="00AF5BD0">
        <w:rPr>
          <w:rFonts w:cs="Times New Roman"/>
          <w:szCs w:val="24"/>
        </w:rPr>
        <w:t>The sequences of ARL4C ASOs used in this study.</w:t>
      </w:r>
    </w:p>
    <w:tbl>
      <w:tblPr>
        <w:tblW w:w="69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4706"/>
      </w:tblGrid>
      <w:tr w:rsidR="00EB72A1" w:rsidRPr="005C3819" w14:paraId="0BAACCE8" w14:textId="77777777" w:rsidTr="001C0D9D">
        <w:trPr>
          <w:trHeight w:val="228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6013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ASO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FA416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Sequence</w:t>
            </w:r>
          </w:p>
        </w:tc>
      </w:tr>
      <w:tr w:rsidR="00EB72A1" w:rsidRPr="005C3819" w14:paraId="5C75E180" w14:textId="77777777" w:rsidTr="001C0D9D">
        <w:trPr>
          <w:trHeight w:val="372"/>
        </w:trPr>
        <w:tc>
          <w:tcPr>
            <w:tcW w:w="22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83894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hAnsi="Arial" w:cs="Arial"/>
                <w:sz w:val="20"/>
                <w:szCs w:val="20"/>
              </w:rPr>
              <w:t>Control ASO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35DD40" w14:textId="77777777" w:rsidR="00EB72A1" w:rsidRPr="005C3819" w:rsidRDefault="00EB72A1" w:rsidP="001C0D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C3819">
              <w:rPr>
                <w:rFonts w:ascii="Arial" w:hAnsi="Arial" w:cs="Arial"/>
                <w:sz w:val="20"/>
                <w:szCs w:val="20"/>
              </w:rPr>
              <w:t>T(Y)^</w:t>
            </w:r>
            <w:proofErr w:type="spellStart"/>
            <w:r w:rsidRPr="005C3819">
              <w:rPr>
                <w:rFonts w:ascii="Arial" w:hAnsi="Arial" w:cs="Arial"/>
                <w:sz w:val="20"/>
                <w:szCs w:val="20"/>
              </w:rPr>
              <w:t>a^g^A</w:t>
            </w:r>
            <w:proofErr w:type="spellEnd"/>
            <w:r w:rsidRPr="005C3819">
              <w:rPr>
                <w:rFonts w:ascii="Arial" w:hAnsi="Arial" w:cs="Arial"/>
                <w:sz w:val="20"/>
                <w:szCs w:val="20"/>
              </w:rPr>
              <w:t>(Y)^</w:t>
            </w:r>
            <w:proofErr w:type="spellStart"/>
            <w:r w:rsidRPr="005C3819">
              <w:rPr>
                <w:rFonts w:ascii="Arial" w:hAnsi="Arial" w:cs="Arial"/>
                <w:sz w:val="20"/>
                <w:szCs w:val="20"/>
              </w:rPr>
              <w:t>g^a^G</w:t>
            </w:r>
            <w:proofErr w:type="spellEnd"/>
            <w:r w:rsidRPr="005C3819">
              <w:rPr>
                <w:rFonts w:ascii="Arial" w:hAnsi="Arial" w:cs="Arial"/>
                <w:sz w:val="20"/>
                <w:szCs w:val="20"/>
              </w:rPr>
              <w:t>(Y)^t^a^5(Y)^</w:t>
            </w:r>
            <w:proofErr w:type="spellStart"/>
            <w:r w:rsidRPr="005C3819">
              <w:rPr>
                <w:rFonts w:ascii="Arial" w:hAnsi="Arial" w:cs="Arial"/>
                <w:sz w:val="20"/>
                <w:szCs w:val="20"/>
              </w:rPr>
              <w:t>c^c^A</w:t>
            </w:r>
            <w:proofErr w:type="spellEnd"/>
            <w:r w:rsidRPr="005C3819">
              <w:rPr>
                <w:rFonts w:ascii="Arial" w:hAnsi="Arial" w:cs="Arial"/>
                <w:sz w:val="20"/>
                <w:szCs w:val="20"/>
              </w:rPr>
              <w:t>(Y)^</w:t>
            </w:r>
            <w:proofErr w:type="spellStart"/>
            <w:r w:rsidRPr="005C3819">
              <w:rPr>
                <w:rFonts w:ascii="Arial" w:hAnsi="Arial" w:cs="Arial"/>
                <w:sz w:val="20"/>
                <w:szCs w:val="20"/>
              </w:rPr>
              <w:t>t^c</w:t>
            </w:r>
            <w:proofErr w:type="spellEnd"/>
          </w:p>
        </w:tc>
      </w:tr>
      <w:tr w:rsidR="00EB72A1" w:rsidRPr="005C3819" w14:paraId="47E40A98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8D21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ARL4C ASO-1316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0164B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G(Y)^5(Y)^A(Y)^</w:t>
            </w:r>
            <w:proofErr w:type="spellStart"/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t^a^c^c^t^c^a^g^g^T</w:t>
            </w:r>
            <w:proofErr w:type="spellEnd"/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(Y)^A(Y)^a</w:t>
            </w:r>
          </w:p>
        </w:tc>
      </w:tr>
    </w:tbl>
    <w:p w14:paraId="127750C6" w14:textId="77777777" w:rsidR="00EB72A1" w:rsidRPr="003B2395" w:rsidRDefault="00EB72A1" w:rsidP="00EB72A1">
      <w:pPr>
        <w:spacing w:line="480" w:lineRule="auto"/>
        <w:rPr>
          <w:rFonts w:ascii="Arial" w:eastAsia="游明朝" w:hAnsi="Arial" w:cs="Arial"/>
          <w:sz w:val="20"/>
          <w:szCs w:val="20"/>
        </w:rPr>
      </w:pPr>
      <w:r w:rsidRPr="00F14451">
        <w:rPr>
          <w:rFonts w:cs="Times New Roman"/>
          <w:szCs w:val="24"/>
        </w:rPr>
        <w:t>Lower case=DNA; N(Y)=</w:t>
      </w:r>
      <w:proofErr w:type="spellStart"/>
      <w:r w:rsidRPr="00F14451">
        <w:rPr>
          <w:rFonts w:cs="Times New Roman"/>
          <w:szCs w:val="24"/>
        </w:rPr>
        <w:t>AmNA</w:t>
      </w:r>
      <w:proofErr w:type="spellEnd"/>
      <w:r w:rsidRPr="00F14451">
        <w:rPr>
          <w:rFonts w:cs="Times New Roman"/>
          <w:szCs w:val="24"/>
        </w:rPr>
        <w:t>; 5(Y)=</w:t>
      </w:r>
      <w:proofErr w:type="spellStart"/>
      <w:r w:rsidRPr="00F14451">
        <w:rPr>
          <w:rFonts w:cs="Times New Roman"/>
          <w:szCs w:val="24"/>
        </w:rPr>
        <w:t>AmNA_mC</w:t>
      </w:r>
      <w:proofErr w:type="spellEnd"/>
      <w:r w:rsidRPr="00F14451">
        <w:rPr>
          <w:rFonts w:cs="Times New Roman"/>
          <w:szCs w:val="24"/>
        </w:rPr>
        <w:t>; ^=</w:t>
      </w:r>
      <w:proofErr w:type="spellStart"/>
      <w:r w:rsidRPr="00F14451">
        <w:rPr>
          <w:rFonts w:cs="Times New Roman"/>
          <w:szCs w:val="24"/>
        </w:rPr>
        <w:t>Phosphorothioated</w:t>
      </w:r>
      <w:proofErr w:type="spellEnd"/>
    </w:p>
    <w:p w14:paraId="06627075" w14:textId="77777777" w:rsidR="00EB72A1" w:rsidRPr="005C3819" w:rsidRDefault="00EB72A1" w:rsidP="00EB72A1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5C3819">
        <w:rPr>
          <w:rFonts w:ascii="Arial" w:hAnsi="Arial" w:cs="Arial"/>
          <w:b/>
          <w:bCs/>
          <w:sz w:val="20"/>
          <w:szCs w:val="20"/>
        </w:rPr>
        <w:br w:type="page"/>
      </w:r>
    </w:p>
    <w:p w14:paraId="0980F8A5" w14:textId="1B47A297" w:rsidR="00EB72A1" w:rsidRPr="00AF5BD0" w:rsidRDefault="00EB72A1" w:rsidP="00EB72A1">
      <w:pPr>
        <w:spacing w:line="48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Supplementary File 1 </w:t>
      </w:r>
      <w:r w:rsidRPr="0083010C">
        <w:rPr>
          <w:rFonts w:cs="Times New Roman"/>
          <w:b/>
          <w:bCs/>
          <w:szCs w:val="24"/>
        </w:rPr>
        <w:t xml:space="preserve">Table </w:t>
      </w:r>
      <w:r>
        <w:rPr>
          <w:rFonts w:cs="Times New Roman"/>
          <w:b/>
          <w:bCs/>
          <w:szCs w:val="24"/>
        </w:rPr>
        <w:t>6</w:t>
      </w:r>
      <w:r w:rsidRPr="00AF5BD0">
        <w:rPr>
          <w:rFonts w:cs="Times New Roman"/>
          <w:b/>
          <w:bCs/>
          <w:szCs w:val="24"/>
        </w:rPr>
        <w:t xml:space="preserve">. </w:t>
      </w:r>
      <w:r w:rsidRPr="00AF5BD0">
        <w:rPr>
          <w:rFonts w:cs="Times New Roman"/>
          <w:szCs w:val="24"/>
        </w:rPr>
        <w:t>List of antibodies used in this study.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6"/>
        <w:gridCol w:w="4483"/>
        <w:gridCol w:w="1450"/>
        <w:gridCol w:w="855"/>
        <w:gridCol w:w="855"/>
        <w:gridCol w:w="855"/>
      </w:tblGrid>
      <w:tr w:rsidR="00EB72A1" w:rsidRPr="005C3819" w14:paraId="421EEB90" w14:textId="77777777" w:rsidTr="001C0D9D">
        <w:trPr>
          <w:trHeight w:val="228"/>
        </w:trPr>
        <w:tc>
          <w:tcPr>
            <w:tcW w:w="72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980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0B7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E1C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20FA" w14:textId="77777777" w:rsidR="00EB72A1" w:rsidRPr="005C3819" w:rsidRDefault="00EB72A1" w:rsidP="001C0D9D">
            <w:pPr>
              <w:widowControl/>
              <w:spacing w:line="240" w:lineRule="auto"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Application (Dilution ratio)</w:t>
            </w:r>
          </w:p>
        </w:tc>
      </w:tr>
      <w:tr w:rsidR="00EB72A1" w:rsidRPr="005C3819" w14:paraId="4814237F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FDDD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Antigen</w:t>
            </w:r>
          </w:p>
        </w:tc>
        <w:tc>
          <w:tcPr>
            <w:tcW w:w="2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F260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1A91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Catalog #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1929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WB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117D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IHC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BCE3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ICC</w:t>
            </w:r>
          </w:p>
        </w:tc>
      </w:tr>
      <w:tr w:rsidR="00EB72A1" w:rsidRPr="005C3819" w14:paraId="79F720B0" w14:textId="77777777" w:rsidTr="001C0D9D">
        <w:trPr>
          <w:trHeight w:val="228"/>
        </w:trPr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AC7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ARL4C</w:t>
            </w:r>
          </w:p>
        </w:tc>
        <w:tc>
          <w:tcPr>
            <w:tcW w:w="2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DED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Atlas Antibodies (</w:t>
            </w:r>
            <w:proofErr w:type="spellStart"/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Bromma</w:t>
            </w:r>
            <w:proofErr w:type="spellEnd"/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, Sweden)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8C6BD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333333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333333"/>
                <w:kern w:val="0"/>
                <w:sz w:val="20"/>
                <w:szCs w:val="20"/>
              </w:rPr>
              <w:t>#HPA028927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FD33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84BD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1:50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2034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B72A1" w:rsidRPr="005C3819" w14:paraId="39E0E0A4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E9D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Clathrin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F9D5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BD Biosciences (San Jose, CA,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D998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#610500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69C5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8456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7B94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EB72A1" w:rsidRPr="005C3819" w14:paraId="041CDCFA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C16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EGR1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683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Cell Signaling Technology (Beverly, MA,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A663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#4153S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CD3F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ED50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E09E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EB72A1" w:rsidRPr="005C3819" w14:paraId="53C76DF2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128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β-catenin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79C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BD Biosciences (San Jose, CA,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7C04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#610154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60F2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064B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580A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EB72A1" w:rsidRPr="005C3819" w14:paraId="3F47A244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AF9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Ras (G12D)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E83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Cell Signaling Technology (Beverly, MA,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D1E7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#14429S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81E7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65D7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CAAA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EB72A1" w:rsidRPr="005C3819" w14:paraId="539003DF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E19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Hsp90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F3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BD Biosciences (San Jose, CA,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7B47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#610419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1268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01C9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6C56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EB72A1" w:rsidRPr="005C3819" w14:paraId="42EE5C0E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59A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2F9F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BioLegend</w:t>
            </w:r>
            <w:proofErr w:type="spellEnd"/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 (San Diego, CA, USA) 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9E36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#901502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40FB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9BF9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818A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EB72A1" w:rsidRPr="005C3819" w14:paraId="61DDEAFB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6585" w14:textId="77777777" w:rsidR="00EB72A1" w:rsidRPr="005C3819" w:rsidRDefault="00EB72A1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GFP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7063" w14:textId="77777777" w:rsidR="00EB72A1" w:rsidRPr="005C3819" w:rsidRDefault="00EB72A1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Life Technologies/Thermo Fisher Scientiﬁc (Carlsbad, CA,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7456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#A6455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D013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1:4000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31A9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E22F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EB72A1" w:rsidRPr="005C3819" w14:paraId="6E939F3C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8B15" w14:textId="77777777" w:rsidR="00EB72A1" w:rsidRPr="005C3819" w:rsidRDefault="00EB72A1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GFP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6DAF" w14:textId="77777777" w:rsidR="00EB72A1" w:rsidRPr="005C3819" w:rsidRDefault="00EB72A1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Santa Cruz Santa Cruz Biotechnology</w:t>
            </w:r>
          </w:p>
          <w:p w14:paraId="543CB03C" w14:textId="77777777" w:rsidR="00EB72A1" w:rsidRPr="005C3819" w:rsidRDefault="00EB72A1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(Dallas, TX,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C996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#sc-9996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4686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6404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9F21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EB72A1" w:rsidRPr="005C3819" w14:paraId="51ED81F0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B05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FLAG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CB7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WAKO (Tokyo, Japan)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2204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#014–22383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DD7B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6BFB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7425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EB72A1" w:rsidRPr="005C3819" w14:paraId="7EBAE284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AD81" w14:textId="77777777" w:rsidR="00EB72A1" w:rsidRPr="005C3819" w:rsidRDefault="00EB72A1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IQGAP1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F51F" w14:textId="77777777" w:rsidR="00EB72A1" w:rsidRPr="005C3819" w:rsidRDefault="00EB72A1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Santa Cruz Santa Cruz Biotechnology</w:t>
            </w:r>
          </w:p>
          <w:p w14:paraId="46327623" w14:textId="77777777" w:rsidR="00EB72A1" w:rsidRPr="005C3819" w:rsidRDefault="00EB72A1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(Dallas, TX,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E852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#sc-376021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4FD5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6124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1:800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75D9" w14:textId="77777777" w:rsidR="00EB72A1" w:rsidRPr="005C3819" w:rsidRDefault="00EB72A1" w:rsidP="005C71C9">
            <w:pPr>
              <w:widowControl/>
              <w:spacing w:line="220" w:lineRule="exact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</w:tr>
      <w:tr w:rsidR="00EB72A1" w:rsidRPr="005C3819" w14:paraId="709E4597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D63D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MMP14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DEC4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Abcam (Cambridge, UK)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E1AA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#ab51074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1625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45AF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1:200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25E9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</w:tr>
      <w:tr w:rsidR="00EB72A1" w:rsidRPr="005C3819" w14:paraId="3A267638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AC1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Cytohesin2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C58C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Proteintech</w:t>
            </w:r>
            <w:proofErr w:type="spellEnd"/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 Group, Inc (Chicago, IL,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3646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#67185-1-Ig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DE8F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FA4E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3A74" w14:textId="77777777" w:rsidR="00EB72A1" w:rsidRPr="005C3819" w:rsidRDefault="00EB72A1" w:rsidP="001C0D9D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</w:tr>
      <w:tr w:rsidR="005C71C9" w:rsidRPr="005C3819" w14:paraId="05578C53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9BEFE" w14:textId="6747D0F5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axillin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E2ED" w14:textId="1286DF9C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BD Biosciences (San Jose, CA,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E70F9" w14:textId="306AD198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#</w:t>
            </w:r>
            <w:r w:rsidRPr="005C71C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61005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0AFE2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707C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F06F" w14:textId="08B2C13D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</w:tr>
      <w:tr w:rsidR="005C71C9" w:rsidRPr="005C3819" w14:paraId="48931CC0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A094" w14:textId="1D1C3BC4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AK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39BC" w14:textId="250EA1E8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BD Biosciences (San Jose, CA,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4D7AE" w14:textId="223B82F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</w:t>
            </w:r>
            <w:r w:rsidRPr="005C71C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61008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32E1D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EAC5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7868" w14:textId="4CABFA68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</w:tr>
      <w:tr w:rsidR="005C71C9" w:rsidRPr="005C3819" w14:paraId="348DA1F2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5582" w14:textId="77777777" w:rsidR="005C71C9" w:rsidRDefault="005C71C9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axillin</w:t>
            </w:r>
          </w:p>
          <w:p w14:paraId="024247EB" w14:textId="3BA6957A" w:rsidR="005C71C9" w:rsidRPr="005C3819" w:rsidRDefault="005C71C9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Y118)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DB612" w14:textId="79F417B8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Cell Signaling Technology (Beverly, MA,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EB71E" w14:textId="06002A8B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71C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#2541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3DDEE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5B9BE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9667" w14:textId="7CB238ED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</w:tr>
      <w:tr w:rsidR="005C71C9" w:rsidRPr="005C3819" w14:paraId="19FE5458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2197" w14:textId="77777777" w:rsidR="005C71C9" w:rsidRDefault="005C71C9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AK</w:t>
            </w:r>
          </w:p>
          <w:p w14:paraId="65B07509" w14:textId="591A2EEE" w:rsidR="005C71C9" w:rsidRPr="005C3819" w:rsidRDefault="005C71C9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Y397)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6D620" w14:textId="50EC10FA" w:rsidR="005C71C9" w:rsidRPr="005C3819" w:rsidRDefault="005C71C9" w:rsidP="005C71C9">
            <w:pPr>
              <w:widowControl/>
              <w:spacing w:line="220" w:lineRule="exact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Life Technologies/Thermo Fisher Scientiﬁc (Carlsbad, CA,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16D20" w14:textId="44594D79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#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44625G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6D39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DC47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6EF5" w14:textId="5C3ED16F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</w:tr>
      <w:tr w:rsidR="005C71C9" w:rsidRPr="005C3819" w14:paraId="4A6243FF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13B4" w14:textId="4373476B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ortactin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FA04E" w14:textId="5E3FF294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Merck Millipore (Billerica, MA,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A7DA" w14:textId="762DDC11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#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05-180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53607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9098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60032" w14:textId="7873E48F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</w:tr>
      <w:tr w:rsidR="005C71C9" w:rsidRPr="005C3819" w14:paraId="22C87271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0268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Rac1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353C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BD Biosciences (San Jose, CA,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1689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#610651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7A82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A6EA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491B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71C9" w:rsidRPr="005C3819" w14:paraId="7B493E64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2686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Cdc42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DBD7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Cell Signaling Technology (Beverly, MA,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9602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#2466S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8878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30D8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B2BA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71C9" w:rsidRPr="005C3819" w14:paraId="49E30C01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84B4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CK19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C954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Abcam (Cambridge, UK)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707D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#ab52625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1E22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FD6D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4133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C71C9" w:rsidRPr="005C3819" w14:paraId="23C804D4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7155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Mitochondria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A417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Merck Millipore (Billerica, MA, USA)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FADF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#MAB1273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01DE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9F15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9ECD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C71C9" w:rsidRPr="005C3819" w14:paraId="6E320A20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F123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LYVE-1</w:t>
            </w:r>
          </w:p>
        </w:tc>
        <w:tc>
          <w:tcPr>
            <w:tcW w:w="22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A76D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Abcam (Cambridge, UK)</w:t>
            </w:r>
          </w:p>
        </w:tc>
        <w:tc>
          <w:tcPr>
            <w:tcW w:w="7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E706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#ab14917</w:t>
            </w:r>
          </w:p>
        </w:tc>
        <w:tc>
          <w:tcPr>
            <w:tcW w:w="4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B6A2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3C72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  <w:tc>
          <w:tcPr>
            <w:tcW w:w="4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A1DB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C71C9" w:rsidRPr="005C3819" w14:paraId="0A32F8CD" w14:textId="77777777" w:rsidTr="001C0D9D">
        <w:trPr>
          <w:trHeight w:val="228"/>
        </w:trPr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B56FA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YAP/TAZ</w:t>
            </w:r>
          </w:p>
        </w:tc>
        <w:tc>
          <w:tcPr>
            <w:tcW w:w="2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47747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Cell Signaling Technology (Beverly, MA, USA)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0E36B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#8418S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146D3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70D61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91E7A" w14:textId="77777777" w:rsidR="005C71C9" w:rsidRPr="005C3819" w:rsidRDefault="005C71C9" w:rsidP="005C71C9">
            <w:pPr>
              <w:widowControl/>
              <w:spacing w:line="240" w:lineRule="auto"/>
              <w:jc w:val="righ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1:100</w:t>
            </w:r>
          </w:p>
        </w:tc>
      </w:tr>
    </w:tbl>
    <w:p w14:paraId="607F9914" w14:textId="77777777" w:rsidR="00EB72A1" w:rsidRPr="005C3819" w:rsidRDefault="00EB72A1" w:rsidP="00EB72A1">
      <w:pPr>
        <w:spacing w:line="480" w:lineRule="auto"/>
        <w:rPr>
          <w:rFonts w:ascii="Arial" w:hAnsi="Arial" w:cs="Arial"/>
          <w:sz w:val="20"/>
          <w:szCs w:val="20"/>
        </w:rPr>
      </w:pPr>
      <w:r w:rsidRPr="00F14451">
        <w:rPr>
          <w:rFonts w:cs="Times New Roman"/>
          <w:szCs w:val="24"/>
        </w:rPr>
        <w:t>WB, western blotting; IHC, immunohistochemistry; ICC, immunocytochemistry</w:t>
      </w:r>
      <w:r w:rsidRPr="005C38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C3819">
        <w:rPr>
          <w:rFonts w:ascii="Arial" w:hAnsi="Arial" w:cs="Arial"/>
          <w:b/>
          <w:bCs/>
          <w:sz w:val="20"/>
          <w:szCs w:val="20"/>
        </w:rPr>
        <w:br w:type="page"/>
      </w:r>
    </w:p>
    <w:p w14:paraId="1A206E7B" w14:textId="6279827F" w:rsidR="00EB72A1" w:rsidRPr="00AF5BD0" w:rsidRDefault="00EB72A1" w:rsidP="00EB72A1">
      <w:pPr>
        <w:spacing w:line="48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Supplementary File 1 </w:t>
      </w:r>
      <w:r w:rsidRPr="0083010C">
        <w:rPr>
          <w:rFonts w:cs="Times New Roman"/>
          <w:b/>
          <w:bCs/>
          <w:szCs w:val="24"/>
        </w:rPr>
        <w:t xml:space="preserve">Table </w:t>
      </w:r>
      <w:r>
        <w:rPr>
          <w:rFonts w:cs="Times New Roman"/>
          <w:b/>
          <w:bCs/>
          <w:szCs w:val="24"/>
        </w:rPr>
        <w:t>7</w:t>
      </w:r>
      <w:r w:rsidRPr="00AF5BD0">
        <w:rPr>
          <w:rFonts w:cs="Times New Roman"/>
          <w:b/>
          <w:bCs/>
          <w:szCs w:val="24"/>
        </w:rPr>
        <w:t xml:space="preserve">. </w:t>
      </w:r>
      <w:r w:rsidRPr="00AF5BD0">
        <w:rPr>
          <w:rFonts w:cs="Times New Roman"/>
          <w:szCs w:val="24"/>
        </w:rPr>
        <w:t>Target sequences for siRNA used in this study.</w:t>
      </w:r>
    </w:p>
    <w:tbl>
      <w:tblPr>
        <w:tblW w:w="58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3572"/>
      </w:tblGrid>
      <w:tr w:rsidR="00EB72A1" w:rsidRPr="005C3819" w14:paraId="43930B24" w14:textId="77777777" w:rsidTr="001C0D9D">
        <w:trPr>
          <w:trHeight w:val="228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3B32D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A008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Sequence</w:t>
            </w:r>
          </w:p>
        </w:tc>
      </w:tr>
      <w:tr w:rsidR="00EB72A1" w:rsidRPr="005C3819" w14:paraId="31E279BB" w14:textId="77777777" w:rsidTr="001C0D9D">
        <w:trPr>
          <w:trHeight w:val="228"/>
        </w:trPr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449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Randomized Control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068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5'-CAGTCGCGTTTGCGACTGG-3'</w:t>
            </w:r>
          </w:p>
        </w:tc>
      </w:tr>
      <w:tr w:rsidR="00EB72A1" w:rsidRPr="005C3819" w14:paraId="289AD855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CB2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IQGAP1#1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922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5'-GCTGCACATAGTTGCCTTT-3'</w:t>
            </w:r>
          </w:p>
        </w:tc>
      </w:tr>
      <w:tr w:rsidR="00EB72A1" w:rsidRPr="005C3819" w14:paraId="7068E448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F98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IQGAP1#2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FF1E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5'-CCCTAATGTAGAATGTCAT-3'</w:t>
            </w:r>
          </w:p>
        </w:tc>
      </w:tr>
      <w:tr w:rsidR="00EB72A1" w:rsidRPr="005C3819" w14:paraId="5D619EB2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9BD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CYTH2#1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459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5'-GGATGGAGCTGGAGAACAT-3'</w:t>
            </w:r>
          </w:p>
        </w:tc>
      </w:tr>
      <w:tr w:rsidR="00EB72A1" w:rsidRPr="005C3819" w14:paraId="2081112A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0D6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CYTH2#2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C9C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5'-GCAGTTTCTATGGAGCTTT-3'</w:t>
            </w:r>
          </w:p>
        </w:tc>
      </w:tr>
      <w:tr w:rsidR="005C71C9" w:rsidRPr="005C3819" w14:paraId="38F2F5E7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74F8" w14:textId="6865CBBF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71C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ARPC2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#1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2311" w14:textId="18979E9D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</w:t>
            </w:r>
            <w:r w:rsidRPr="005C71C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GCCTATATTCACACACGTA</w:t>
            </w: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-3'</w:t>
            </w:r>
          </w:p>
        </w:tc>
      </w:tr>
      <w:tr w:rsidR="005C71C9" w:rsidRPr="005C3819" w14:paraId="1E0AEF78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30E0" w14:textId="04F906EF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ARPC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2#2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D179" w14:textId="7A82CAC2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5C71C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CCTATATTCACACACGTAT</w:t>
            </w: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-3'</w:t>
            </w:r>
          </w:p>
        </w:tc>
      </w:tr>
      <w:tr w:rsidR="005C71C9" w:rsidRPr="005C3819" w14:paraId="60AD605B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2B23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MMP14#1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9E01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5'-GCAGCCTCTCACTACTCTT-3'</w:t>
            </w:r>
          </w:p>
        </w:tc>
      </w:tr>
      <w:tr w:rsidR="005C71C9" w:rsidRPr="005C3819" w14:paraId="5D046AE0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74A6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MMP14#</w:t>
            </w:r>
            <w:r>
              <w:rPr>
                <w:rFonts w:ascii="Arial" w:eastAsia="游ゴシック" w:hAnsi="Arial" w:cs="Arial" w:hint="eastAsia"/>
                <w:i/>
                <w:i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EC3A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B51C57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CCGACATCATGATCTTCTT</w:t>
            </w: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-3'</w:t>
            </w:r>
          </w:p>
        </w:tc>
      </w:tr>
      <w:tr w:rsidR="005C71C9" w:rsidRPr="005C3819" w14:paraId="7A10715E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EC51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KRAS#1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AA34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5'-GCATCATGTCCTATAGTTT-3'</w:t>
            </w:r>
          </w:p>
        </w:tc>
      </w:tr>
      <w:tr w:rsidR="005C71C9" w:rsidRPr="005C3819" w14:paraId="4D36D20B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133D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KRAS#2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012C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5'-GTTGGAGCTGATGGCGTAG-3'</w:t>
            </w:r>
          </w:p>
        </w:tc>
      </w:tr>
      <w:tr w:rsidR="005C71C9" w:rsidRPr="005C3819" w14:paraId="138E9671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E0C3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CTNNB1#1</w:t>
            </w: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80D7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5'-CCCACTAATGTCCAGCGTT-3'</w:t>
            </w:r>
          </w:p>
        </w:tc>
      </w:tr>
      <w:tr w:rsidR="005C71C9" w:rsidRPr="005C3819" w14:paraId="0253F17F" w14:textId="77777777" w:rsidTr="001C0D9D">
        <w:trPr>
          <w:trHeight w:val="228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E3AD3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CTNNB1#2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39F52" w14:textId="77777777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5'-GCATAACCTTTCCCATCAT-3'</w:t>
            </w:r>
          </w:p>
        </w:tc>
      </w:tr>
    </w:tbl>
    <w:p w14:paraId="69644D68" w14:textId="77777777" w:rsidR="00EB72A1" w:rsidRPr="005C3819" w:rsidRDefault="00EB72A1" w:rsidP="00EB72A1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5C3819">
        <w:rPr>
          <w:rFonts w:ascii="Arial" w:hAnsi="Arial" w:cs="Arial"/>
          <w:b/>
          <w:bCs/>
          <w:sz w:val="20"/>
          <w:szCs w:val="20"/>
        </w:rPr>
        <w:br w:type="page"/>
      </w:r>
    </w:p>
    <w:p w14:paraId="47FA786F" w14:textId="75FF66A5" w:rsidR="00EB72A1" w:rsidRPr="00AF5BD0" w:rsidRDefault="00EB72A1" w:rsidP="00EB72A1">
      <w:pPr>
        <w:spacing w:line="48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Supplementary File 1 </w:t>
      </w:r>
      <w:r w:rsidRPr="0083010C">
        <w:rPr>
          <w:rFonts w:cs="Times New Roman"/>
          <w:b/>
          <w:bCs/>
          <w:szCs w:val="24"/>
        </w:rPr>
        <w:t xml:space="preserve">Table </w:t>
      </w:r>
      <w:r>
        <w:rPr>
          <w:rFonts w:cs="Times New Roman"/>
          <w:b/>
          <w:bCs/>
          <w:szCs w:val="24"/>
        </w:rPr>
        <w:t>8</w:t>
      </w:r>
      <w:r w:rsidRPr="00AF5BD0">
        <w:rPr>
          <w:rFonts w:cs="Times New Roman"/>
          <w:b/>
          <w:bCs/>
          <w:szCs w:val="24"/>
        </w:rPr>
        <w:t xml:space="preserve">. </w:t>
      </w:r>
      <w:r w:rsidRPr="00AF5BD0">
        <w:rPr>
          <w:rFonts w:cs="Times New Roman"/>
          <w:szCs w:val="24"/>
        </w:rPr>
        <w:t>Primer sequences for quantitative PCR used in this study.</w:t>
      </w:r>
    </w:p>
    <w:tbl>
      <w:tblPr>
        <w:tblW w:w="98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4026"/>
        <w:gridCol w:w="3685"/>
      </w:tblGrid>
      <w:tr w:rsidR="00EB72A1" w:rsidRPr="005C3819" w14:paraId="5A54427C" w14:textId="77777777" w:rsidTr="001C0D9D">
        <w:trPr>
          <w:trHeight w:val="228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EB0925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AD3F1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319600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Reverse</w:t>
            </w:r>
          </w:p>
        </w:tc>
      </w:tr>
      <w:tr w:rsidR="00EB72A1" w:rsidRPr="005C3819" w14:paraId="7BD7C222" w14:textId="77777777" w:rsidTr="001C0D9D">
        <w:trPr>
          <w:trHeight w:val="228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69A2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GAPDH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5CD7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5'-TCCTGCACCACCAACTGCTT-3'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A10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5'-TGGCAGTGATGGCATGGAC-3'</w:t>
            </w:r>
          </w:p>
        </w:tc>
      </w:tr>
      <w:tr w:rsidR="00EB72A1" w:rsidRPr="005C3819" w14:paraId="3DB44169" w14:textId="77777777" w:rsidTr="001C0D9D">
        <w:trPr>
          <w:trHeight w:val="228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8E96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B2M</w:t>
            </w:r>
          </w:p>
        </w:tc>
        <w:tc>
          <w:tcPr>
            <w:tcW w:w="4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CA43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5'-TGCTGTCTCCATGTTTGATGTATC-3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47E8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5'-TCTCTGCTCCCCACCTCTAAG-3'</w:t>
            </w:r>
          </w:p>
        </w:tc>
      </w:tr>
      <w:tr w:rsidR="00EB72A1" w:rsidRPr="005C3819" w14:paraId="794BB86F" w14:textId="77777777" w:rsidTr="005C71C9">
        <w:trPr>
          <w:trHeight w:val="22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207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381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ARL4C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BF2A" w14:textId="77777777" w:rsidR="00EB72A1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5'-AGGGGCTGTGAAGCTGAGTA-3'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75BD" w14:textId="0C082237" w:rsidR="00554243" w:rsidRPr="005C3819" w:rsidRDefault="00EB72A1" w:rsidP="001C0D9D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5'-TTCCAGGCTGAAAAGCAGTT -3'</w:t>
            </w:r>
          </w:p>
        </w:tc>
      </w:tr>
      <w:tr w:rsidR="005C71C9" w:rsidRPr="005C3819" w14:paraId="2FC9AC6B" w14:textId="77777777" w:rsidTr="001C0D9D">
        <w:trPr>
          <w:trHeight w:val="228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6FD4C" w14:textId="7A249CE9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human </w:t>
            </w:r>
            <w:r w:rsidRPr="005C71C9"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ARPC2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006C1" w14:textId="1B1CC15B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</w:t>
            </w:r>
            <w:r w:rsidRPr="005C71C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AGATTTCGATGGGGTCCTCT</w:t>
            </w: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-3'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FF227" w14:textId="5670608B" w:rsidR="005C71C9" w:rsidRPr="005C3819" w:rsidRDefault="005C71C9" w:rsidP="005C71C9">
            <w:pPr>
              <w:widowControl/>
              <w:spacing w:line="240" w:lineRule="auto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5'-</w:t>
            </w:r>
            <w:r w:rsidRPr="005C71C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CCGGAAGATTTTCAAGGTCA</w:t>
            </w:r>
            <w:r w:rsidRPr="005C3819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-3'</w:t>
            </w:r>
          </w:p>
        </w:tc>
      </w:tr>
    </w:tbl>
    <w:p w14:paraId="68EF864A" w14:textId="77777777" w:rsidR="00EB72A1" w:rsidRDefault="00EB72A1" w:rsidP="00EB72A1">
      <w:pPr>
        <w:spacing w:line="480" w:lineRule="auto"/>
        <w:rPr>
          <w:rFonts w:eastAsia="游明朝" w:cs="Times New Roman"/>
          <w:szCs w:val="24"/>
        </w:rPr>
      </w:pPr>
      <w:r w:rsidRPr="00F14451">
        <w:rPr>
          <w:rFonts w:cs="Times New Roman"/>
          <w:i/>
          <w:iCs/>
          <w:szCs w:val="24"/>
        </w:rPr>
        <w:t>B2M</w:t>
      </w:r>
      <w:r w:rsidRPr="00F14451">
        <w:rPr>
          <w:rFonts w:cs="Times New Roman"/>
          <w:szCs w:val="24"/>
        </w:rPr>
        <w:t xml:space="preserve">, </w:t>
      </w:r>
      <w:r w:rsidRPr="00A478A2">
        <w:rPr>
          <w:rFonts w:eastAsia="游明朝" w:cs="Times New Roman"/>
          <w:i/>
          <w:szCs w:val="24"/>
        </w:rPr>
        <w:t>β</w:t>
      </w:r>
      <w:r w:rsidRPr="00F14451">
        <w:rPr>
          <w:rFonts w:cs="Times New Roman"/>
          <w:i/>
          <w:szCs w:val="24"/>
        </w:rPr>
        <w:t>2-microglobulin</w:t>
      </w:r>
      <w:r w:rsidRPr="00F14451">
        <w:rPr>
          <w:rFonts w:cs="Times New Roman"/>
          <w:szCs w:val="24"/>
        </w:rPr>
        <w:t>.</w:t>
      </w:r>
    </w:p>
    <w:p w14:paraId="47FFAA69" w14:textId="77777777" w:rsidR="00EB72A1" w:rsidRPr="003B2395" w:rsidRDefault="00EB72A1" w:rsidP="00EB72A1">
      <w:pPr>
        <w:spacing w:line="480" w:lineRule="auto"/>
        <w:rPr>
          <w:rFonts w:ascii="Arial" w:eastAsia="游明朝" w:hAnsi="Arial" w:cs="Arial"/>
          <w:sz w:val="20"/>
          <w:szCs w:val="20"/>
        </w:rPr>
      </w:pPr>
    </w:p>
    <w:p w14:paraId="3AF958A6" w14:textId="77777777" w:rsidR="00EB72A1" w:rsidRDefault="00EB72A1">
      <w:pPr>
        <w:widowControl/>
        <w:spacing w:line="240" w:lineRule="auto"/>
        <w:jc w:val="left"/>
        <w:rPr>
          <w:rFonts w:ascii="游明朝" w:eastAsia="游明朝" w:hAnsi="游明朝" w:cs="Times New Roman"/>
          <w:b/>
          <w:color w:val="FF0000"/>
          <w:szCs w:val="24"/>
        </w:rPr>
      </w:pPr>
    </w:p>
    <w:sectPr w:rsidR="00EB72A1" w:rsidSect="00BC71F1">
      <w:footerReference w:type="default" r:id="rId8"/>
      <w:pgSz w:w="11906" w:h="16838"/>
      <w:pgMar w:top="1440" w:right="1080" w:bottom="1440" w:left="1080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33E7" w14:textId="77777777" w:rsidR="00F46F48" w:rsidRDefault="00F46F48" w:rsidP="006C641F">
      <w:r>
        <w:separator/>
      </w:r>
    </w:p>
  </w:endnote>
  <w:endnote w:type="continuationSeparator" w:id="0">
    <w:p w14:paraId="1FC8ADA9" w14:textId="77777777" w:rsidR="00F46F48" w:rsidRDefault="00F46F48" w:rsidP="006C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00000287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dvOTa293a443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4103" w14:textId="04863D06" w:rsidR="00866ABF" w:rsidRPr="003D3E50" w:rsidRDefault="00866ABF" w:rsidP="003D3E5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35E4" w14:textId="77777777" w:rsidR="00F46F48" w:rsidRDefault="00F46F48" w:rsidP="006C641F">
      <w:r>
        <w:separator/>
      </w:r>
    </w:p>
  </w:footnote>
  <w:footnote w:type="continuationSeparator" w:id="0">
    <w:p w14:paraId="02BBF505" w14:textId="77777777" w:rsidR="00F46F48" w:rsidRDefault="00F46F48" w:rsidP="006C6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E014E"/>
    <w:multiLevelType w:val="multilevel"/>
    <w:tmpl w:val="89C2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tDCzsDA0NjQC8pR0lIJTi4sz8/NACoxqAd6Nqz0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ncogene Copy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0dfvtrwzsv93evas9p50ald9a2pf5w5pvr&quot;&gt;20170921 library最新版&lt;record-ids&gt;&lt;item&gt;4002&lt;/item&gt;&lt;item&gt;4168&lt;/item&gt;&lt;item&gt;4463&lt;/item&gt;&lt;item&gt;4599&lt;/item&gt;&lt;item&gt;4912&lt;/item&gt;&lt;item&gt;4929&lt;/item&gt;&lt;item&gt;4967&lt;/item&gt;&lt;/record-ids&gt;&lt;/item&gt;&lt;/Libraries&gt;"/>
  </w:docVars>
  <w:rsids>
    <w:rsidRoot w:val="0006233E"/>
    <w:rsid w:val="00000323"/>
    <w:rsid w:val="0000087E"/>
    <w:rsid w:val="00000CDC"/>
    <w:rsid w:val="00002A3D"/>
    <w:rsid w:val="00003135"/>
    <w:rsid w:val="00005C84"/>
    <w:rsid w:val="0000603A"/>
    <w:rsid w:val="000065E5"/>
    <w:rsid w:val="0001212E"/>
    <w:rsid w:val="0001355D"/>
    <w:rsid w:val="000156BE"/>
    <w:rsid w:val="00015D6E"/>
    <w:rsid w:val="000232C4"/>
    <w:rsid w:val="00023D57"/>
    <w:rsid w:val="00026CF5"/>
    <w:rsid w:val="000353F3"/>
    <w:rsid w:val="00035874"/>
    <w:rsid w:val="00036513"/>
    <w:rsid w:val="000403FB"/>
    <w:rsid w:val="00040B9D"/>
    <w:rsid w:val="00041CD3"/>
    <w:rsid w:val="00042F45"/>
    <w:rsid w:val="00046B23"/>
    <w:rsid w:val="00047A41"/>
    <w:rsid w:val="00050CEE"/>
    <w:rsid w:val="00051028"/>
    <w:rsid w:val="000514D6"/>
    <w:rsid w:val="0005741A"/>
    <w:rsid w:val="000575E4"/>
    <w:rsid w:val="00060CA0"/>
    <w:rsid w:val="00061B9A"/>
    <w:rsid w:val="0006233E"/>
    <w:rsid w:val="000649E4"/>
    <w:rsid w:val="000727DD"/>
    <w:rsid w:val="00082852"/>
    <w:rsid w:val="00085D7E"/>
    <w:rsid w:val="00087827"/>
    <w:rsid w:val="00090505"/>
    <w:rsid w:val="00090D73"/>
    <w:rsid w:val="00092958"/>
    <w:rsid w:val="00094FBD"/>
    <w:rsid w:val="000A00B5"/>
    <w:rsid w:val="000A1089"/>
    <w:rsid w:val="000A37BC"/>
    <w:rsid w:val="000A53A4"/>
    <w:rsid w:val="000B1D74"/>
    <w:rsid w:val="000B211C"/>
    <w:rsid w:val="000B53AD"/>
    <w:rsid w:val="000B5A9F"/>
    <w:rsid w:val="000B7286"/>
    <w:rsid w:val="000C0E34"/>
    <w:rsid w:val="000C20EB"/>
    <w:rsid w:val="000C24AF"/>
    <w:rsid w:val="000C5F9D"/>
    <w:rsid w:val="000C64DF"/>
    <w:rsid w:val="000C6E59"/>
    <w:rsid w:val="000D0714"/>
    <w:rsid w:val="000D0CF6"/>
    <w:rsid w:val="000D112D"/>
    <w:rsid w:val="000D2815"/>
    <w:rsid w:val="000D56B0"/>
    <w:rsid w:val="000D58B6"/>
    <w:rsid w:val="000D766C"/>
    <w:rsid w:val="000E05F0"/>
    <w:rsid w:val="000E0641"/>
    <w:rsid w:val="000E4D1C"/>
    <w:rsid w:val="000E53EC"/>
    <w:rsid w:val="000E5440"/>
    <w:rsid w:val="000E5A44"/>
    <w:rsid w:val="000F0A06"/>
    <w:rsid w:val="000F1195"/>
    <w:rsid w:val="000F30B9"/>
    <w:rsid w:val="000F52F8"/>
    <w:rsid w:val="000F625F"/>
    <w:rsid w:val="000F7073"/>
    <w:rsid w:val="000F76DE"/>
    <w:rsid w:val="00100162"/>
    <w:rsid w:val="00100A3C"/>
    <w:rsid w:val="00102609"/>
    <w:rsid w:val="001040EE"/>
    <w:rsid w:val="00106F97"/>
    <w:rsid w:val="00107908"/>
    <w:rsid w:val="00114E72"/>
    <w:rsid w:val="001151A7"/>
    <w:rsid w:val="00115201"/>
    <w:rsid w:val="00116C21"/>
    <w:rsid w:val="00116CFA"/>
    <w:rsid w:val="00123C2D"/>
    <w:rsid w:val="001260DD"/>
    <w:rsid w:val="00130069"/>
    <w:rsid w:val="00130368"/>
    <w:rsid w:val="00136298"/>
    <w:rsid w:val="00136E13"/>
    <w:rsid w:val="001376D4"/>
    <w:rsid w:val="0014215D"/>
    <w:rsid w:val="00143BBD"/>
    <w:rsid w:val="00144240"/>
    <w:rsid w:val="0014792D"/>
    <w:rsid w:val="00147E7D"/>
    <w:rsid w:val="00151531"/>
    <w:rsid w:val="00155854"/>
    <w:rsid w:val="001572BA"/>
    <w:rsid w:val="00160325"/>
    <w:rsid w:val="00163A6B"/>
    <w:rsid w:val="00164631"/>
    <w:rsid w:val="001646BC"/>
    <w:rsid w:val="00166C6D"/>
    <w:rsid w:val="0016718F"/>
    <w:rsid w:val="00167B41"/>
    <w:rsid w:val="001726B8"/>
    <w:rsid w:val="00172A69"/>
    <w:rsid w:val="00172B96"/>
    <w:rsid w:val="00172C48"/>
    <w:rsid w:val="00173C04"/>
    <w:rsid w:val="00176E5E"/>
    <w:rsid w:val="001770D9"/>
    <w:rsid w:val="00184175"/>
    <w:rsid w:val="0018650F"/>
    <w:rsid w:val="00192BE7"/>
    <w:rsid w:val="00195AA7"/>
    <w:rsid w:val="001A3C36"/>
    <w:rsid w:val="001A593E"/>
    <w:rsid w:val="001A6AEA"/>
    <w:rsid w:val="001B225A"/>
    <w:rsid w:val="001B31E8"/>
    <w:rsid w:val="001B32F0"/>
    <w:rsid w:val="001B3433"/>
    <w:rsid w:val="001B451B"/>
    <w:rsid w:val="001B5443"/>
    <w:rsid w:val="001B5950"/>
    <w:rsid w:val="001B5BB8"/>
    <w:rsid w:val="001C07D6"/>
    <w:rsid w:val="001C0F4A"/>
    <w:rsid w:val="001C5173"/>
    <w:rsid w:val="001D1533"/>
    <w:rsid w:val="001D44E8"/>
    <w:rsid w:val="001E1D08"/>
    <w:rsid w:val="001E2DAE"/>
    <w:rsid w:val="001E486D"/>
    <w:rsid w:val="001F5E16"/>
    <w:rsid w:val="001F62EF"/>
    <w:rsid w:val="001F6685"/>
    <w:rsid w:val="001F72A8"/>
    <w:rsid w:val="0020081F"/>
    <w:rsid w:val="00200E2A"/>
    <w:rsid w:val="00202393"/>
    <w:rsid w:val="0020356F"/>
    <w:rsid w:val="0020592E"/>
    <w:rsid w:val="00206A1F"/>
    <w:rsid w:val="00206B2B"/>
    <w:rsid w:val="00207310"/>
    <w:rsid w:val="00211678"/>
    <w:rsid w:val="002120EE"/>
    <w:rsid w:val="00213A64"/>
    <w:rsid w:val="00215DAE"/>
    <w:rsid w:val="00220905"/>
    <w:rsid w:val="00221942"/>
    <w:rsid w:val="00221B14"/>
    <w:rsid w:val="002222AA"/>
    <w:rsid w:val="00231554"/>
    <w:rsid w:val="00232040"/>
    <w:rsid w:val="0023767B"/>
    <w:rsid w:val="00242934"/>
    <w:rsid w:val="0024356C"/>
    <w:rsid w:val="00244E50"/>
    <w:rsid w:val="002456CC"/>
    <w:rsid w:val="00247DF8"/>
    <w:rsid w:val="00250013"/>
    <w:rsid w:val="002501B3"/>
    <w:rsid w:val="00252788"/>
    <w:rsid w:val="00253AFB"/>
    <w:rsid w:val="00262B02"/>
    <w:rsid w:val="00266BD8"/>
    <w:rsid w:val="00270591"/>
    <w:rsid w:val="002706DA"/>
    <w:rsid w:val="00272DA8"/>
    <w:rsid w:val="00272E9D"/>
    <w:rsid w:val="002730A4"/>
    <w:rsid w:val="00274BEF"/>
    <w:rsid w:val="00277124"/>
    <w:rsid w:val="00281AE5"/>
    <w:rsid w:val="00282A7B"/>
    <w:rsid w:val="00282FE7"/>
    <w:rsid w:val="002879C1"/>
    <w:rsid w:val="00290A50"/>
    <w:rsid w:val="00290A97"/>
    <w:rsid w:val="00291F35"/>
    <w:rsid w:val="002925B3"/>
    <w:rsid w:val="0029709F"/>
    <w:rsid w:val="002977B1"/>
    <w:rsid w:val="002A73D5"/>
    <w:rsid w:val="002B0548"/>
    <w:rsid w:val="002B1DCA"/>
    <w:rsid w:val="002B26A5"/>
    <w:rsid w:val="002B39B7"/>
    <w:rsid w:val="002B4F37"/>
    <w:rsid w:val="002B64F4"/>
    <w:rsid w:val="002B7FF4"/>
    <w:rsid w:val="002C0360"/>
    <w:rsid w:val="002C1800"/>
    <w:rsid w:val="002C2290"/>
    <w:rsid w:val="002C5846"/>
    <w:rsid w:val="002C70B0"/>
    <w:rsid w:val="002C77C0"/>
    <w:rsid w:val="002D0EF1"/>
    <w:rsid w:val="002D384F"/>
    <w:rsid w:val="002D46D0"/>
    <w:rsid w:val="002E04D5"/>
    <w:rsid w:val="002E0518"/>
    <w:rsid w:val="002E2682"/>
    <w:rsid w:val="002E51DC"/>
    <w:rsid w:val="002E7157"/>
    <w:rsid w:val="002F10A4"/>
    <w:rsid w:val="002F1DF0"/>
    <w:rsid w:val="002F4146"/>
    <w:rsid w:val="002F4F9B"/>
    <w:rsid w:val="00301590"/>
    <w:rsid w:val="0030180C"/>
    <w:rsid w:val="0030227B"/>
    <w:rsid w:val="00303045"/>
    <w:rsid w:val="003048FE"/>
    <w:rsid w:val="00305189"/>
    <w:rsid w:val="00305315"/>
    <w:rsid w:val="00305AA8"/>
    <w:rsid w:val="0031077C"/>
    <w:rsid w:val="00310A98"/>
    <w:rsid w:val="00311223"/>
    <w:rsid w:val="00311D0E"/>
    <w:rsid w:val="00314624"/>
    <w:rsid w:val="00320E7F"/>
    <w:rsid w:val="00322A4B"/>
    <w:rsid w:val="00327F04"/>
    <w:rsid w:val="00327F8E"/>
    <w:rsid w:val="0033164E"/>
    <w:rsid w:val="0033345F"/>
    <w:rsid w:val="00334F2E"/>
    <w:rsid w:val="0033529E"/>
    <w:rsid w:val="003360B9"/>
    <w:rsid w:val="0034358B"/>
    <w:rsid w:val="00343E8B"/>
    <w:rsid w:val="00344241"/>
    <w:rsid w:val="00346C09"/>
    <w:rsid w:val="00351CDA"/>
    <w:rsid w:val="00355BB5"/>
    <w:rsid w:val="00356FF2"/>
    <w:rsid w:val="00361534"/>
    <w:rsid w:val="00361F84"/>
    <w:rsid w:val="003623B3"/>
    <w:rsid w:val="00373A64"/>
    <w:rsid w:val="0037409D"/>
    <w:rsid w:val="00375BC1"/>
    <w:rsid w:val="00380183"/>
    <w:rsid w:val="0038145D"/>
    <w:rsid w:val="00383C7D"/>
    <w:rsid w:val="00383E8F"/>
    <w:rsid w:val="00383F6E"/>
    <w:rsid w:val="0038433B"/>
    <w:rsid w:val="00386945"/>
    <w:rsid w:val="00391293"/>
    <w:rsid w:val="003A030D"/>
    <w:rsid w:val="003A0407"/>
    <w:rsid w:val="003A21DB"/>
    <w:rsid w:val="003A354F"/>
    <w:rsid w:val="003A4B09"/>
    <w:rsid w:val="003A6DDD"/>
    <w:rsid w:val="003B090F"/>
    <w:rsid w:val="003B1445"/>
    <w:rsid w:val="003B1803"/>
    <w:rsid w:val="003B23DB"/>
    <w:rsid w:val="003B3B51"/>
    <w:rsid w:val="003B4EEF"/>
    <w:rsid w:val="003B7AAC"/>
    <w:rsid w:val="003C0F40"/>
    <w:rsid w:val="003C1E0C"/>
    <w:rsid w:val="003C231A"/>
    <w:rsid w:val="003C3164"/>
    <w:rsid w:val="003C6F9A"/>
    <w:rsid w:val="003C7592"/>
    <w:rsid w:val="003D1E58"/>
    <w:rsid w:val="003D276B"/>
    <w:rsid w:val="003D3E50"/>
    <w:rsid w:val="003D4749"/>
    <w:rsid w:val="003D55E5"/>
    <w:rsid w:val="003E05DF"/>
    <w:rsid w:val="003E0C9D"/>
    <w:rsid w:val="003E5845"/>
    <w:rsid w:val="003E5DE2"/>
    <w:rsid w:val="003E67BB"/>
    <w:rsid w:val="003F3B40"/>
    <w:rsid w:val="003F6693"/>
    <w:rsid w:val="003F6DB3"/>
    <w:rsid w:val="004011F4"/>
    <w:rsid w:val="004017A0"/>
    <w:rsid w:val="00402131"/>
    <w:rsid w:val="00403F6B"/>
    <w:rsid w:val="0040417A"/>
    <w:rsid w:val="0040695D"/>
    <w:rsid w:val="00413037"/>
    <w:rsid w:val="00415B66"/>
    <w:rsid w:val="0042133D"/>
    <w:rsid w:val="00427258"/>
    <w:rsid w:val="004300C8"/>
    <w:rsid w:val="004302EE"/>
    <w:rsid w:val="00435C1E"/>
    <w:rsid w:val="00436658"/>
    <w:rsid w:val="004417BC"/>
    <w:rsid w:val="00441AB0"/>
    <w:rsid w:val="00442A42"/>
    <w:rsid w:val="00443D32"/>
    <w:rsid w:val="004462F9"/>
    <w:rsid w:val="0044645D"/>
    <w:rsid w:val="0044748C"/>
    <w:rsid w:val="004476F6"/>
    <w:rsid w:val="00447D35"/>
    <w:rsid w:val="00450605"/>
    <w:rsid w:val="0045119D"/>
    <w:rsid w:val="00452819"/>
    <w:rsid w:val="00453C1A"/>
    <w:rsid w:val="00454432"/>
    <w:rsid w:val="00456355"/>
    <w:rsid w:val="0045675B"/>
    <w:rsid w:val="00456BEE"/>
    <w:rsid w:val="00460B04"/>
    <w:rsid w:val="004616A8"/>
    <w:rsid w:val="00461F1F"/>
    <w:rsid w:val="0046276C"/>
    <w:rsid w:val="0046672C"/>
    <w:rsid w:val="00467783"/>
    <w:rsid w:val="00470D44"/>
    <w:rsid w:val="0047190D"/>
    <w:rsid w:val="0047735D"/>
    <w:rsid w:val="00477BCA"/>
    <w:rsid w:val="00477E59"/>
    <w:rsid w:val="00482CDB"/>
    <w:rsid w:val="00483E6B"/>
    <w:rsid w:val="00486C19"/>
    <w:rsid w:val="004901B6"/>
    <w:rsid w:val="00490411"/>
    <w:rsid w:val="0049083E"/>
    <w:rsid w:val="00493C90"/>
    <w:rsid w:val="00494B44"/>
    <w:rsid w:val="00494BAB"/>
    <w:rsid w:val="004A0C75"/>
    <w:rsid w:val="004A131F"/>
    <w:rsid w:val="004A48DB"/>
    <w:rsid w:val="004A596C"/>
    <w:rsid w:val="004A5A7E"/>
    <w:rsid w:val="004A5FD2"/>
    <w:rsid w:val="004A7FEE"/>
    <w:rsid w:val="004B09EA"/>
    <w:rsid w:val="004B3852"/>
    <w:rsid w:val="004B47A4"/>
    <w:rsid w:val="004B5ACA"/>
    <w:rsid w:val="004B5C86"/>
    <w:rsid w:val="004B62AE"/>
    <w:rsid w:val="004B6651"/>
    <w:rsid w:val="004B7472"/>
    <w:rsid w:val="004B7F3D"/>
    <w:rsid w:val="004C05DD"/>
    <w:rsid w:val="004C58C5"/>
    <w:rsid w:val="004D0BAC"/>
    <w:rsid w:val="004D0D98"/>
    <w:rsid w:val="004D19AA"/>
    <w:rsid w:val="004D3077"/>
    <w:rsid w:val="004E035B"/>
    <w:rsid w:val="004E0A16"/>
    <w:rsid w:val="004E25CE"/>
    <w:rsid w:val="004E4158"/>
    <w:rsid w:val="004E6B97"/>
    <w:rsid w:val="004F2C4E"/>
    <w:rsid w:val="004F6362"/>
    <w:rsid w:val="0050028A"/>
    <w:rsid w:val="00501231"/>
    <w:rsid w:val="005017D8"/>
    <w:rsid w:val="00501F1E"/>
    <w:rsid w:val="0050297B"/>
    <w:rsid w:val="00502B58"/>
    <w:rsid w:val="00503DA8"/>
    <w:rsid w:val="005040E1"/>
    <w:rsid w:val="00513466"/>
    <w:rsid w:val="0051552D"/>
    <w:rsid w:val="00516092"/>
    <w:rsid w:val="00522BD5"/>
    <w:rsid w:val="00523681"/>
    <w:rsid w:val="0052422A"/>
    <w:rsid w:val="00524BB2"/>
    <w:rsid w:val="005256F4"/>
    <w:rsid w:val="00526A36"/>
    <w:rsid w:val="00530D77"/>
    <w:rsid w:val="00530E1B"/>
    <w:rsid w:val="00531033"/>
    <w:rsid w:val="00532468"/>
    <w:rsid w:val="0053322E"/>
    <w:rsid w:val="00534CEA"/>
    <w:rsid w:val="005352E2"/>
    <w:rsid w:val="00540263"/>
    <w:rsid w:val="00541903"/>
    <w:rsid w:val="0054317B"/>
    <w:rsid w:val="005468F7"/>
    <w:rsid w:val="0055018B"/>
    <w:rsid w:val="0055230A"/>
    <w:rsid w:val="00554243"/>
    <w:rsid w:val="00561833"/>
    <w:rsid w:val="005648EF"/>
    <w:rsid w:val="00566CED"/>
    <w:rsid w:val="00572B0A"/>
    <w:rsid w:val="00574169"/>
    <w:rsid w:val="00574947"/>
    <w:rsid w:val="00574E83"/>
    <w:rsid w:val="005762F6"/>
    <w:rsid w:val="005776FB"/>
    <w:rsid w:val="00584A8F"/>
    <w:rsid w:val="00584DCC"/>
    <w:rsid w:val="005856AF"/>
    <w:rsid w:val="00592966"/>
    <w:rsid w:val="00596EDA"/>
    <w:rsid w:val="005971B8"/>
    <w:rsid w:val="00597226"/>
    <w:rsid w:val="005A2B8C"/>
    <w:rsid w:val="005A38E5"/>
    <w:rsid w:val="005A53E0"/>
    <w:rsid w:val="005A7237"/>
    <w:rsid w:val="005B0618"/>
    <w:rsid w:val="005B0B48"/>
    <w:rsid w:val="005B0EAD"/>
    <w:rsid w:val="005B111F"/>
    <w:rsid w:val="005B12AA"/>
    <w:rsid w:val="005B1B99"/>
    <w:rsid w:val="005B37ED"/>
    <w:rsid w:val="005B43CE"/>
    <w:rsid w:val="005B5BCD"/>
    <w:rsid w:val="005B7A54"/>
    <w:rsid w:val="005C0309"/>
    <w:rsid w:val="005C3819"/>
    <w:rsid w:val="005C5206"/>
    <w:rsid w:val="005C5469"/>
    <w:rsid w:val="005C71C9"/>
    <w:rsid w:val="005C7901"/>
    <w:rsid w:val="005D080B"/>
    <w:rsid w:val="005D0B46"/>
    <w:rsid w:val="005D234E"/>
    <w:rsid w:val="005D3E53"/>
    <w:rsid w:val="005D66B2"/>
    <w:rsid w:val="005D6706"/>
    <w:rsid w:val="005D7CD1"/>
    <w:rsid w:val="005E4143"/>
    <w:rsid w:val="005E45E2"/>
    <w:rsid w:val="005E4901"/>
    <w:rsid w:val="005E4FDA"/>
    <w:rsid w:val="005E5FC1"/>
    <w:rsid w:val="005F032C"/>
    <w:rsid w:val="005F1927"/>
    <w:rsid w:val="005F3DFF"/>
    <w:rsid w:val="005F711F"/>
    <w:rsid w:val="00602797"/>
    <w:rsid w:val="00602E02"/>
    <w:rsid w:val="0060300D"/>
    <w:rsid w:val="00603655"/>
    <w:rsid w:val="00603C96"/>
    <w:rsid w:val="006058AA"/>
    <w:rsid w:val="00611BFE"/>
    <w:rsid w:val="006130A1"/>
    <w:rsid w:val="006157D2"/>
    <w:rsid w:val="006159E7"/>
    <w:rsid w:val="006165C5"/>
    <w:rsid w:val="006206B6"/>
    <w:rsid w:val="00621055"/>
    <w:rsid w:val="006228C0"/>
    <w:rsid w:val="00624264"/>
    <w:rsid w:val="00624D7A"/>
    <w:rsid w:val="0062515A"/>
    <w:rsid w:val="00625797"/>
    <w:rsid w:val="006259B7"/>
    <w:rsid w:val="00627740"/>
    <w:rsid w:val="00630F21"/>
    <w:rsid w:val="00631DC7"/>
    <w:rsid w:val="00631E83"/>
    <w:rsid w:val="00632025"/>
    <w:rsid w:val="00636C53"/>
    <w:rsid w:val="00644B56"/>
    <w:rsid w:val="00644F91"/>
    <w:rsid w:val="0064613C"/>
    <w:rsid w:val="0065195B"/>
    <w:rsid w:val="00653B43"/>
    <w:rsid w:val="006565C7"/>
    <w:rsid w:val="00656E6E"/>
    <w:rsid w:val="006576CD"/>
    <w:rsid w:val="0066031D"/>
    <w:rsid w:val="006648BC"/>
    <w:rsid w:val="00666252"/>
    <w:rsid w:val="00666EDA"/>
    <w:rsid w:val="006676B8"/>
    <w:rsid w:val="00672065"/>
    <w:rsid w:val="00672B0A"/>
    <w:rsid w:val="006734D3"/>
    <w:rsid w:val="00673AED"/>
    <w:rsid w:val="00676752"/>
    <w:rsid w:val="0067689F"/>
    <w:rsid w:val="006836DA"/>
    <w:rsid w:val="00690575"/>
    <w:rsid w:val="00691459"/>
    <w:rsid w:val="00691DBD"/>
    <w:rsid w:val="00693A1D"/>
    <w:rsid w:val="00694C3E"/>
    <w:rsid w:val="00695D2F"/>
    <w:rsid w:val="006A1B9F"/>
    <w:rsid w:val="006A26D2"/>
    <w:rsid w:val="006A2838"/>
    <w:rsid w:val="006A419F"/>
    <w:rsid w:val="006A6B7A"/>
    <w:rsid w:val="006A6F47"/>
    <w:rsid w:val="006B23D9"/>
    <w:rsid w:val="006B2776"/>
    <w:rsid w:val="006B445A"/>
    <w:rsid w:val="006B4B38"/>
    <w:rsid w:val="006B4F96"/>
    <w:rsid w:val="006B4FD5"/>
    <w:rsid w:val="006B743C"/>
    <w:rsid w:val="006C2788"/>
    <w:rsid w:val="006C3D59"/>
    <w:rsid w:val="006C3D8A"/>
    <w:rsid w:val="006C403D"/>
    <w:rsid w:val="006C4A96"/>
    <w:rsid w:val="006C641F"/>
    <w:rsid w:val="006C6667"/>
    <w:rsid w:val="006C74B4"/>
    <w:rsid w:val="006C790B"/>
    <w:rsid w:val="006D27EA"/>
    <w:rsid w:val="006D58E3"/>
    <w:rsid w:val="006D6492"/>
    <w:rsid w:val="006D75BD"/>
    <w:rsid w:val="006D7EFF"/>
    <w:rsid w:val="006E0055"/>
    <w:rsid w:val="006E0600"/>
    <w:rsid w:val="006E15EC"/>
    <w:rsid w:val="006E3768"/>
    <w:rsid w:val="006E41C4"/>
    <w:rsid w:val="006E7E34"/>
    <w:rsid w:val="006F01E7"/>
    <w:rsid w:val="006F30E6"/>
    <w:rsid w:val="006F3F0C"/>
    <w:rsid w:val="006F42B6"/>
    <w:rsid w:val="006F61C3"/>
    <w:rsid w:val="006F76B3"/>
    <w:rsid w:val="006F7AC1"/>
    <w:rsid w:val="00701A37"/>
    <w:rsid w:val="00702C2A"/>
    <w:rsid w:val="00703EE6"/>
    <w:rsid w:val="007043E3"/>
    <w:rsid w:val="00704493"/>
    <w:rsid w:val="007068D1"/>
    <w:rsid w:val="00706CA0"/>
    <w:rsid w:val="00710B35"/>
    <w:rsid w:val="007243B4"/>
    <w:rsid w:val="00726114"/>
    <w:rsid w:val="00734A76"/>
    <w:rsid w:val="00736081"/>
    <w:rsid w:val="007363A0"/>
    <w:rsid w:val="00736449"/>
    <w:rsid w:val="00736E52"/>
    <w:rsid w:val="00741004"/>
    <w:rsid w:val="00741594"/>
    <w:rsid w:val="00742D25"/>
    <w:rsid w:val="0074403E"/>
    <w:rsid w:val="00751847"/>
    <w:rsid w:val="00755C91"/>
    <w:rsid w:val="00765DE1"/>
    <w:rsid w:val="0077165A"/>
    <w:rsid w:val="00773425"/>
    <w:rsid w:val="00782E7C"/>
    <w:rsid w:val="00783670"/>
    <w:rsid w:val="007841F2"/>
    <w:rsid w:val="007842AB"/>
    <w:rsid w:val="0078459C"/>
    <w:rsid w:val="00787957"/>
    <w:rsid w:val="007912D8"/>
    <w:rsid w:val="00793B06"/>
    <w:rsid w:val="00797583"/>
    <w:rsid w:val="00797871"/>
    <w:rsid w:val="0079794F"/>
    <w:rsid w:val="007A4651"/>
    <w:rsid w:val="007B18D3"/>
    <w:rsid w:val="007B1B32"/>
    <w:rsid w:val="007B1E30"/>
    <w:rsid w:val="007B28D0"/>
    <w:rsid w:val="007B7B5F"/>
    <w:rsid w:val="007C071B"/>
    <w:rsid w:val="007C2E21"/>
    <w:rsid w:val="007C34FF"/>
    <w:rsid w:val="007C44F0"/>
    <w:rsid w:val="007C57F7"/>
    <w:rsid w:val="007D04C9"/>
    <w:rsid w:val="007D06D0"/>
    <w:rsid w:val="007D1FA5"/>
    <w:rsid w:val="007D5360"/>
    <w:rsid w:val="007D6179"/>
    <w:rsid w:val="007D66AF"/>
    <w:rsid w:val="007D6CAD"/>
    <w:rsid w:val="007D7DF0"/>
    <w:rsid w:val="007E0FEB"/>
    <w:rsid w:val="007E1204"/>
    <w:rsid w:val="007E12A4"/>
    <w:rsid w:val="007E2CEC"/>
    <w:rsid w:val="007E3002"/>
    <w:rsid w:val="007E5979"/>
    <w:rsid w:val="007E640C"/>
    <w:rsid w:val="007F3402"/>
    <w:rsid w:val="007F3F75"/>
    <w:rsid w:val="007F6E16"/>
    <w:rsid w:val="0080171A"/>
    <w:rsid w:val="0080446E"/>
    <w:rsid w:val="0080725A"/>
    <w:rsid w:val="00807C4E"/>
    <w:rsid w:val="00812F7B"/>
    <w:rsid w:val="00814D53"/>
    <w:rsid w:val="0081638A"/>
    <w:rsid w:val="008167D1"/>
    <w:rsid w:val="0081762B"/>
    <w:rsid w:val="00821797"/>
    <w:rsid w:val="00821A73"/>
    <w:rsid w:val="00824106"/>
    <w:rsid w:val="008305C9"/>
    <w:rsid w:val="00832851"/>
    <w:rsid w:val="00836F11"/>
    <w:rsid w:val="00840DCA"/>
    <w:rsid w:val="00840EBE"/>
    <w:rsid w:val="008427C4"/>
    <w:rsid w:val="008479E7"/>
    <w:rsid w:val="00850325"/>
    <w:rsid w:val="00852D3A"/>
    <w:rsid w:val="008545BB"/>
    <w:rsid w:val="0085561F"/>
    <w:rsid w:val="00857C88"/>
    <w:rsid w:val="00861003"/>
    <w:rsid w:val="00862860"/>
    <w:rsid w:val="00864AC7"/>
    <w:rsid w:val="00865D8C"/>
    <w:rsid w:val="00865E75"/>
    <w:rsid w:val="00866ABF"/>
    <w:rsid w:val="00870F61"/>
    <w:rsid w:val="00871C1F"/>
    <w:rsid w:val="00872FAB"/>
    <w:rsid w:val="00874679"/>
    <w:rsid w:val="00874B85"/>
    <w:rsid w:val="00874C18"/>
    <w:rsid w:val="00876A2E"/>
    <w:rsid w:val="00880564"/>
    <w:rsid w:val="008827D7"/>
    <w:rsid w:val="00882CBB"/>
    <w:rsid w:val="00884461"/>
    <w:rsid w:val="008845DD"/>
    <w:rsid w:val="0088487B"/>
    <w:rsid w:val="00885D2B"/>
    <w:rsid w:val="008918FD"/>
    <w:rsid w:val="00893196"/>
    <w:rsid w:val="00893463"/>
    <w:rsid w:val="008A2024"/>
    <w:rsid w:val="008A24CC"/>
    <w:rsid w:val="008A325D"/>
    <w:rsid w:val="008A37C3"/>
    <w:rsid w:val="008A38D4"/>
    <w:rsid w:val="008A41A0"/>
    <w:rsid w:val="008A59DA"/>
    <w:rsid w:val="008A5EF8"/>
    <w:rsid w:val="008A78E8"/>
    <w:rsid w:val="008B0BE6"/>
    <w:rsid w:val="008B1F4B"/>
    <w:rsid w:val="008B2289"/>
    <w:rsid w:val="008B2EB1"/>
    <w:rsid w:val="008B37FD"/>
    <w:rsid w:val="008B523E"/>
    <w:rsid w:val="008B6DA0"/>
    <w:rsid w:val="008B7E35"/>
    <w:rsid w:val="008C03F2"/>
    <w:rsid w:val="008C3D09"/>
    <w:rsid w:val="008D00C1"/>
    <w:rsid w:val="008D132B"/>
    <w:rsid w:val="008D18AA"/>
    <w:rsid w:val="008D2D56"/>
    <w:rsid w:val="008E05BA"/>
    <w:rsid w:val="008E1D21"/>
    <w:rsid w:val="008E2D32"/>
    <w:rsid w:val="008E7D02"/>
    <w:rsid w:val="008E7ED8"/>
    <w:rsid w:val="008F1413"/>
    <w:rsid w:val="008F319A"/>
    <w:rsid w:val="008F5077"/>
    <w:rsid w:val="008F6F76"/>
    <w:rsid w:val="00900E3A"/>
    <w:rsid w:val="00901DC2"/>
    <w:rsid w:val="00905114"/>
    <w:rsid w:val="00912288"/>
    <w:rsid w:val="00913A1D"/>
    <w:rsid w:val="00913D00"/>
    <w:rsid w:val="00914556"/>
    <w:rsid w:val="009178A9"/>
    <w:rsid w:val="00920604"/>
    <w:rsid w:val="00922F99"/>
    <w:rsid w:val="00923A0F"/>
    <w:rsid w:val="009245C2"/>
    <w:rsid w:val="00924E29"/>
    <w:rsid w:val="00925A1B"/>
    <w:rsid w:val="009263E7"/>
    <w:rsid w:val="0093511D"/>
    <w:rsid w:val="00936110"/>
    <w:rsid w:val="0093663A"/>
    <w:rsid w:val="00943C18"/>
    <w:rsid w:val="00944C71"/>
    <w:rsid w:val="0094698D"/>
    <w:rsid w:val="0094757B"/>
    <w:rsid w:val="00947D1D"/>
    <w:rsid w:val="00947F46"/>
    <w:rsid w:val="00952F14"/>
    <w:rsid w:val="00953450"/>
    <w:rsid w:val="00953504"/>
    <w:rsid w:val="00954144"/>
    <w:rsid w:val="00961D86"/>
    <w:rsid w:val="00961F97"/>
    <w:rsid w:val="0096305C"/>
    <w:rsid w:val="009639AB"/>
    <w:rsid w:val="00964175"/>
    <w:rsid w:val="009650CF"/>
    <w:rsid w:val="00966735"/>
    <w:rsid w:val="00966E89"/>
    <w:rsid w:val="00973904"/>
    <w:rsid w:val="0097409E"/>
    <w:rsid w:val="00976ED0"/>
    <w:rsid w:val="00977E64"/>
    <w:rsid w:val="00983CA8"/>
    <w:rsid w:val="00983DAF"/>
    <w:rsid w:val="009848B6"/>
    <w:rsid w:val="00984CCE"/>
    <w:rsid w:val="00990920"/>
    <w:rsid w:val="00991D7F"/>
    <w:rsid w:val="00992136"/>
    <w:rsid w:val="0099555E"/>
    <w:rsid w:val="009961BC"/>
    <w:rsid w:val="009A16E3"/>
    <w:rsid w:val="009A1E2C"/>
    <w:rsid w:val="009A4F9A"/>
    <w:rsid w:val="009A794B"/>
    <w:rsid w:val="009A7D00"/>
    <w:rsid w:val="009B18B2"/>
    <w:rsid w:val="009B203F"/>
    <w:rsid w:val="009B2B60"/>
    <w:rsid w:val="009B54A8"/>
    <w:rsid w:val="009B60CA"/>
    <w:rsid w:val="009B6D68"/>
    <w:rsid w:val="009C043D"/>
    <w:rsid w:val="009C0B31"/>
    <w:rsid w:val="009C1D66"/>
    <w:rsid w:val="009C2027"/>
    <w:rsid w:val="009C5592"/>
    <w:rsid w:val="009D5801"/>
    <w:rsid w:val="009D62D1"/>
    <w:rsid w:val="009D7BC6"/>
    <w:rsid w:val="009E1780"/>
    <w:rsid w:val="009E1F54"/>
    <w:rsid w:val="009E4E95"/>
    <w:rsid w:val="009F0146"/>
    <w:rsid w:val="009F0EF6"/>
    <w:rsid w:val="009F1983"/>
    <w:rsid w:val="009F2059"/>
    <w:rsid w:val="009F3383"/>
    <w:rsid w:val="00A01DDC"/>
    <w:rsid w:val="00A068CB"/>
    <w:rsid w:val="00A06D57"/>
    <w:rsid w:val="00A07DD8"/>
    <w:rsid w:val="00A10115"/>
    <w:rsid w:val="00A11777"/>
    <w:rsid w:val="00A11A97"/>
    <w:rsid w:val="00A24FE9"/>
    <w:rsid w:val="00A25699"/>
    <w:rsid w:val="00A271A9"/>
    <w:rsid w:val="00A277B5"/>
    <w:rsid w:val="00A27ABC"/>
    <w:rsid w:val="00A30B7C"/>
    <w:rsid w:val="00A3106C"/>
    <w:rsid w:val="00A32102"/>
    <w:rsid w:val="00A321F4"/>
    <w:rsid w:val="00A3553C"/>
    <w:rsid w:val="00A3563C"/>
    <w:rsid w:val="00A37DE5"/>
    <w:rsid w:val="00A4070E"/>
    <w:rsid w:val="00A432FC"/>
    <w:rsid w:val="00A45771"/>
    <w:rsid w:val="00A46688"/>
    <w:rsid w:val="00A513AD"/>
    <w:rsid w:val="00A52455"/>
    <w:rsid w:val="00A525BE"/>
    <w:rsid w:val="00A560C4"/>
    <w:rsid w:val="00A607FF"/>
    <w:rsid w:val="00A66F52"/>
    <w:rsid w:val="00A67C83"/>
    <w:rsid w:val="00A7315D"/>
    <w:rsid w:val="00A74CC8"/>
    <w:rsid w:val="00A758E5"/>
    <w:rsid w:val="00A75BD0"/>
    <w:rsid w:val="00A807AB"/>
    <w:rsid w:val="00A81B90"/>
    <w:rsid w:val="00A90945"/>
    <w:rsid w:val="00A92310"/>
    <w:rsid w:val="00A9479F"/>
    <w:rsid w:val="00A95FF8"/>
    <w:rsid w:val="00AA39BE"/>
    <w:rsid w:val="00AA43D9"/>
    <w:rsid w:val="00AA4605"/>
    <w:rsid w:val="00AA5167"/>
    <w:rsid w:val="00AA7532"/>
    <w:rsid w:val="00AA7EE6"/>
    <w:rsid w:val="00AB0131"/>
    <w:rsid w:val="00AB2628"/>
    <w:rsid w:val="00AB2FE9"/>
    <w:rsid w:val="00AB30A1"/>
    <w:rsid w:val="00AB3CED"/>
    <w:rsid w:val="00AC099A"/>
    <w:rsid w:val="00AC2E21"/>
    <w:rsid w:val="00AC5869"/>
    <w:rsid w:val="00AC613C"/>
    <w:rsid w:val="00AD1747"/>
    <w:rsid w:val="00AD244A"/>
    <w:rsid w:val="00AD3F8F"/>
    <w:rsid w:val="00AD47B4"/>
    <w:rsid w:val="00AD58C0"/>
    <w:rsid w:val="00AD5D0B"/>
    <w:rsid w:val="00AE06B0"/>
    <w:rsid w:val="00AE0CAB"/>
    <w:rsid w:val="00AE1BF8"/>
    <w:rsid w:val="00AE21E2"/>
    <w:rsid w:val="00AE2FAC"/>
    <w:rsid w:val="00AE315A"/>
    <w:rsid w:val="00AE5092"/>
    <w:rsid w:val="00AE5D89"/>
    <w:rsid w:val="00AF28FA"/>
    <w:rsid w:val="00AF34F0"/>
    <w:rsid w:val="00AF4C14"/>
    <w:rsid w:val="00AF7555"/>
    <w:rsid w:val="00AF75CC"/>
    <w:rsid w:val="00B02D66"/>
    <w:rsid w:val="00B108DA"/>
    <w:rsid w:val="00B15FA4"/>
    <w:rsid w:val="00B1616E"/>
    <w:rsid w:val="00B164BE"/>
    <w:rsid w:val="00B168FE"/>
    <w:rsid w:val="00B231A3"/>
    <w:rsid w:val="00B262C4"/>
    <w:rsid w:val="00B30BD0"/>
    <w:rsid w:val="00B347B0"/>
    <w:rsid w:val="00B35E0D"/>
    <w:rsid w:val="00B36A5C"/>
    <w:rsid w:val="00B3704B"/>
    <w:rsid w:val="00B4750F"/>
    <w:rsid w:val="00B50344"/>
    <w:rsid w:val="00B510A2"/>
    <w:rsid w:val="00B5165C"/>
    <w:rsid w:val="00B544C7"/>
    <w:rsid w:val="00B547B3"/>
    <w:rsid w:val="00B56D3A"/>
    <w:rsid w:val="00B57271"/>
    <w:rsid w:val="00B601DF"/>
    <w:rsid w:val="00B60741"/>
    <w:rsid w:val="00B61F48"/>
    <w:rsid w:val="00B634EA"/>
    <w:rsid w:val="00B66506"/>
    <w:rsid w:val="00B66CFF"/>
    <w:rsid w:val="00B70F5C"/>
    <w:rsid w:val="00B7654B"/>
    <w:rsid w:val="00B768EE"/>
    <w:rsid w:val="00B7797A"/>
    <w:rsid w:val="00B83292"/>
    <w:rsid w:val="00B85081"/>
    <w:rsid w:val="00B85C16"/>
    <w:rsid w:val="00B85D7D"/>
    <w:rsid w:val="00B9008F"/>
    <w:rsid w:val="00B9011E"/>
    <w:rsid w:val="00B903B4"/>
    <w:rsid w:val="00B906D2"/>
    <w:rsid w:val="00B90A5A"/>
    <w:rsid w:val="00B914BC"/>
    <w:rsid w:val="00B91587"/>
    <w:rsid w:val="00B92CE2"/>
    <w:rsid w:val="00B94A94"/>
    <w:rsid w:val="00B9696A"/>
    <w:rsid w:val="00BA1B5E"/>
    <w:rsid w:val="00BB1333"/>
    <w:rsid w:val="00BB3A81"/>
    <w:rsid w:val="00BB726E"/>
    <w:rsid w:val="00BC71F1"/>
    <w:rsid w:val="00BC793F"/>
    <w:rsid w:val="00BD1185"/>
    <w:rsid w:val="00BD182B"/>
    <w:rsid w:val="00BD5CB6"/>
    <w:rsid w:val="00BD6D8E"/>
    <w:rsid w:val="00BE3A74"/>
    <w:rsid w:val="00BE3CA3"/>
    <w:rsid w:val="00BE4E2F"/>
    <w:rsid w:val="00BE5480"/>
    <w:rsid w:val="00BE5A58"/>
    <w:rsid w:val="00BE68A0"/>
    <w:rsid w:val="00BF03AB"/>
    <w:rsid w:val="00BF0D7D"/>
    <w:rsid w:val="00BF4400"/>
    <w:rsid w:val="00BF5303"/>
    <w:rsid w:val="00C01145"/>
    <w:rsid w:val="00C0275C"/>
    <w:rsid w:val="00C03C52"/>
    <w:rsid w:val="00C05AB1"/>
    <w:rsid w:val="00C06A1B"/>
    <w:rsid w:val="00C06D82"/>
    <w:rsid w:val="00C10077"/>
    <w:rsid w:val="00C11CD8"/>
    <w:rsid w:val="00C12458"/>
    <w:rsid w:val="00C146D3"/>
    <w:rsid w:val="00C14BCD"/>
    <w:rsid w:val="00C16B73"/>
    <w:rsid w:val="00C20D9D"/>
    <w:rsid w:val="00C239ED"/>
    <w:rsid w:val="00C263A5"/>
    <w:rsid w:val="00C2678C"/>
    <w:rsid w:val="00C27468"/>
    <w:rsid w:val="00C358DB"/>
    <w:rsid w:val="00C35CB9"/>
    <w:rsid w:val="00C37782"/>
    <w:rsid w:val="00C42487"/>
    <w:rsid w:val="00C46FC7"/>
    <w:rsid w:val="00C51179"/>
    <w:rsid w:val="00C5288F"/>
    <w:rsid w:val="00C53C54"/>
    <w:rsid w:val="00C5419A"/>
    <w:rsid w:val="00C56CC8"/>
    <w:rsid w:val="00C60745"/>
    <w:rsid w:val="00C61D20"/>
    <w:rsid w:val="00C63BEF"/>
    <w:rsid w:val="00C63DB2"/>
    <w:rsid w:val="00C6440D"/>
    <w:rsid w:val="00C70049"/>
    <w:rsid w:val="00C70757"/>
    <w:rsid w:val="00C7216C"/>
    <w:rsid w:val="00C729C4"/>
    <w:rsid w:val="00C7364D"/>
    <w:rsid w:val="00C7640F"/>
    <w:rsid w:val="00C80776"/>
    <w:rsid w:val="00C80D4D"/>
    <w:rsid w:val="00C81A89"/>
    <w:rsid w:val="00C8331A"/>
    <w:rsid w:val="00C86532"/>
    <w:rsid w:val="00C865AF"/>
    <w:rsid w:val="00C91D96"/>
    <w:rsid w:val="00C9286F"/>
    <w:rsid w:val="00C929B3"/>
    <w:rsid w:val="00C92A81"/>
    <w:rsid w:val="00C92E55"/>
    <w:rsid w:val="00C952D6"/>
    <w:rsid w:val="00C9546A"/>
    <w:rsid w:val="00C95A0D"/>
    <w:rsid w:val="00C9682E"/>
    <w:rsid w:val="00C96A2F"/>
    <w:rsid w:val="00C97CDD"/>
    <w:rsid w:val="00CA0673"/>
    <w:rsid w:val="00CA0D60"/>
    <w:rsid w:val="00CA3EBE"/>
    <w:rsid w:val="00CA6C7E"/>
    <w:rsid w:val="00CA77D2"/>
    <w:rsid w:val="00CB232F"/>
    <w:rsid w:val="00CB3CBC"/>
    <w:rsid w:val="00CB5652"/>
    <w:rsid w:val="00CB65A6"/>
    <w:rsid w:val="00CC236E"/>
    <w:rsid w:val="00CD109D"/>
    <w:rsid w:val="00CD1348"/>
    <w:rsid w:val="00CD2315"/>
    <w:rsid w:val="00CD3E9F"/>
    <w:rsid w:val="00CD49A0"/>
    <w:rsid w:val="00CD6D9E"/>
    <w:rsid w:val="00CE03AC"/>
    <w:rsid w:val="00CE3E5A"/>
    <w:rsid w:val="00CE5F68"/>
    <w:rsid w:val="00CE7D1A"/>
    <w:rsid w:val="00CF140B"/>
    <w:rsid w:val="00CF3581"/>
    <w:rsid w:val="00CF5E6A"/>
    <w:rsid w:val="00CF673D"/>
    <w:rsid w:val="00CF7B2E"/>
    <w:rsid w:val="00D020BF"/>
    <w:rsid w:val="00D0309F"/>
    <w:rsid w:val="00D045B2"/>
    <w:rsid w:val="00D067D0"/>
    <w:rsid w:val="00D07240"/>
    <w:rsid w:val="00D07428"/>
    <w:rsid w:val="00D07AD5"/>
    <w:rsid w:val="00D07B83"/>
    <w:rsid w:val="00D102E7"/>
    <w:rsid w:val="00D14339"/>
    <w:rsid w:val="00D16088"/>
    <w:rsid w:val="00D20037"/>
    <w:rsid w:val="00D214B6"/>
    <w:rsid w:val="00D22FAA"/>
    <w:rsid w:val="00D2345C"/>
    <w:rsid w:val="00D25EE5"/>
    <w:rsid w:val="00D30CCA"/>
    <w:rsid w:val="00D30E5A"/>
    <w:rsid w:val="00D3403E"/>
    <w:rsid w:val="00D4110D"/>
    <w:rsid w:val="00D50ACA"/>
    <w:rsid w:val="00D521F4"/>
    <w:rsid w:val="00D541B0"/>
    <w:rsid w:val="00D543C8"/>
    <w:rsid w:val="00D56C0B"/>
    <w:rsid w:val="00D62C5C"/>
    <w:rsid w:val="00D67F52"/>
    <w:rsid w:val="00D70B70"/>
    <w:rsid w:val="00D71251"/>
    <w:rsid w:val="00D72A6A"/>
    <w:rsid w:val="00D73C44"/>
    <w:rsid w:val="00D7656C"/>
    <w:rsid w:val="00D7678C"/>
    <w:rsid w:val="00D80195"/>
    <w:rsid w:val="00D808E8"/>
    <w:rsid w:val="00D8292D"/>
    <w:rsid w:val="00D84DEB"/>
    <w:rsid w:val="00D87116"/>
    <w:rsid w:val="00D91961"/>
    <w:rsid w:val="00D91A75"/>
    <w:rsid w:val="00D93E9F"/>
    <w:rsid w:val="00D94CC4"/>
    <w:rsid w:val="00D96F32"/>
    <w:rsid w:val="00D97017"/>
    <w:rsid w:val="00D970A4"/>
    <w:rsid w:val="00DA02D9"/>
    <w:rsid w:val="00DA3E5C"/>
    <w:rsid w:val="00DB0CA3"/>
    <w:rsid w:val="00DB329F"/>
    <w:rsid w:val="00DB3E80"/>
    <w:rsid w:val="00DB5D6B"/>
    <w:rsid w:val="00DB65C5"/>
    <w:rsid w:val="00DB77F6"/>
    <w:rsid w:val="00DB7F5C"/>
    <w:rsid w:val="00DC01F6"/>
    <w:rsid w:val="00DC4C49"/>
    <w:rsid w:val="00DC75E3"/>
    <w:rsid w:val="00DD0E21"/>
    <w:rsid w:val="00DD2C19"/>
    <w:rsid w:val="00DD4FAD"/>
    <w:rsid w:val="00DD63EB"/>
    <w:rsid w:val="00DD6873"/>
    <w:rsid w:val="00DE3872"/>
    <w:rsid w:val="00DE7DB5"/>
    <w:rsid w:val="00DF46E2"/>
    <w:rsid w:val="00DF5EDC"/>
    <w:rsid w:val="00E0781E"/>
    <w:rsid w:val="00E07E01"/>
    <w:rsid w:val="00E10674"/>
    <w:rsid w:val="00E10E84"/>
    <w:rsid w:val="00E141CC"/>
    <w:rsid w:val="00E154CF"/>
    <w:rsid w:val="00E16FB8"/>
    <w:rsid w:val="00E20240"/>
    <w:rsid w:val="00E20EF5"/>
    <w:rsid w:val="00E22442"/>
    <w:rsid w:val="00E2397F"/>
    <w:rsid w:val="00E26C6A"/>
    <w:rsid w:val="00E30668"/>
    <w:rsid w:val="00E317E9"/>
    <w:rsid w:val="00E33503"/>
    <w:rsid w:val="00E3367A"/>
    <w:rsid w:val="00E35240"/>
    <w:rsid w:val="00E35F70"/>
    <w:rsid w:val="00E36335"/>
    <w:rsid w:val="00E367BC"/>
    <w:rsid w:val="00E410EE"/>
    <w:rsid w:val="00E41374"/>
    <w:rsid w:val="00E426A6"/>
    <w:rsid w:val="00E44E85"/>
    <w:rsid w:val="00E50092"/>
    <w:rsid w:val="00E51588"/>
    <w:rsid w:val="00E523C0"/>
    <w:rsid w:val="00E55825"/>
    <w:rsid w:val="00E6023E"/>
    <w:rsid w:val="00E62D60"/>
    <w:rsid w:val="00E66698"/>
    <w:rsid w:val="00E72584"/>
    <w:rsid w:val="00E7369D"/>
    <w:rsid w:val="00E74019"/>
    <w:rsid w:val="00E818FB"/>
    <w:rsid w:val="00E83B94"/>
    <w:rsid w:val="00E85C58"/>
    <w:rsid w:val="00E9006F"/>
    <w:rsid w:val="00E932ED"/>
    <w:rsid w:val="00E965C3"/>
    <w:rsid w:val="00E97D70"/>
    <w:rsid w:val="00EA0E56"/>
    <w:rsid w:val="00EA10C2"/>
    <w:rsid w:val="00EA237A"/>
    <w:rsid w:val="00EA39CE"/>
    <w:rsid w:val="00EA4D68"/>
    <w:rsid w:val="00EA698D"/>
    <w:rsid w:val="00EB048D"/>
    <w:rsid w:val="00EB277B"/>
    <w:rsid w:val="00EB2D44"/>
    <w:rsid w:val="00EB3E4E"/>
    <w:rsid w:val="00EB5EB7"/>
    <w:rsid w:val="00EB6D4B"/>
    <w:rsid w:val="00EB72A1"/>
    <w:rsid w:val="00EB768F"/>
    <w:rsid w:val="00EC296A"/>
    <w:rsid w:val="00EC67D8"/>
    <w:rsid w:val="00EC78CF"/>
    <w:rsid w:val="00ED465B"/>
    <w:rsid w:val="00ED5A51"/>
    <w:rsid w:val="00EE03A8"/>
    <w:rsid w:val="00EE0DBA"/>
    <w:rsid w:val="00EE10E4"/>
    <w:rsid w:val="00EE17A6"/>
    <w:rsid w:val="00EE1DA2"/>
    <w:rsid w:val="00EE1DB3"/>
    <w:rsid w:val="00EE1F2A"/>
    <w:rsid w:val="00EE247C"/>
    <w:rsid w:val="00EE289C"/>
    <w:rsid w:val="00EE2D59"/>
    <w:rsid w:val="00EE4E55"/>
    <w:rsid w:val="00EF015E"/>
    <w:rsid w:val="00EF268E"/>
    <w:rsid w:val="00EF27BB"/>
    <w:rsid w:val="00EF305E"/>
    <w:rsid w:val="00EF3695"/>
    <w:rsid w:val="00EF4C5E"/>
    <w:rsid w:val="00F009C8"/>
    <w:rsid w:val="00F00FA2"/>
    <w:rsid w:val="00F0237D"/>
    <w:rsid w:val="00F03248"/>
    <w:rsid w:val="00F03756"/>
    <w:rsid w:val="00F05007"/>
    <w:rsid w:val="00F0533A"/>
    <w:rsid w:val="00F05507"/>
    <w:rsid w:val="00F05BB2"/>
    <w:rsid w:val="00F0681D"/>
    <w:rsid w:val="00F07727"/>
    <w:rsid w:val="00F07BBD"/>
    <w:rsid w:val="00F1010B"/>
    <w:rsid w:val="00F13A65"/>
    <w:rsid w:val="00F15536"/>
    <w:rsid w:val="00F15659"/>
    <w:rsid w:val="00F203BD"/>
    <w:rsid w:val="00F24B09"/>
    <w:rsid w:val="00F2717F"/>
    <w:rsid w:val="00F30C6A"/>
    <w:rsid w:val="00F31434"/>
    <w:rsid w:val="00F32797"/>
    <w:rsid w:val="00F344C0"/>
    <w:rsid w:val="00F354F6"/>
    <w:rsid w:val="00F372AE"/>
    <w:rsid w:val="00F376D7"/>
    <w:rsid w:val="00F37E0E"/>
    <w:rsid w:val="00F41BE7"/>
    <w:rsid w:val="00F41CBE"/>
    <w:rsid w:val="00F43BE9"/>
    <w:rsid w:val="00F46F48"/>
    <w:rsid w:val="00F539B0"/>
    <w:rsid w:val="00F5559A"/>
    <w:rsid w:val="00F55BCA"/>
    <w:rsid w:val="00F56262"/>
    <w:rsid w:val="00F576A9"/>
    <w:rsid w:val="00F61836"/>
    <w:rsid w:val="00F624E5"/>
    <w:rsid w:val="00F65E4F"/>
    <w:rsid w:val="00F6735D"/>
    <w:rsid w:val="00F72B6A"/>
    <w:rsid w:val="00F7496B"/>
    <w:rsid w:val="00F754A4"/>
    <w:rsid w:val="00F75C84"/>
    <w:rsid w:val="00F772F4"/>
    <w:rsid w:val="00F8108F"/>
    <w:rsid w:val="00F81713"/>
    <w:rsid w:val="00F82FF9"/>
    <w:rsid w:val="00F8338C"/>
    <w:rsid w:val="00F8390C"/>
    <w:rsid w:val="00F8599B"/>
    <w:rsid w:val="00F85A01"/>
    <w:rsid w:val="00F85C8A"/>
    <w:rsid w:val="00F91EED"/>
    <w:rsid w:val="00F92615"/>
    <w:rsid w:val="00FA010E"/>
    <w:rsid w:val="00FA07E8"/>
    <w:rsid w:val="00FA2B52"/>
    <w:rsid w:val="00FA329B"/>
    <w:rsid w:val="00FB0738"/>
    <w:rsid w:val="00FB0A09"/>
    <w:rsid w:val="00FB0E31"/>
    <w:rsid w:val="00FB3459"/>
    <w:rsid w:val="00FB371C"/>
    <w:rsid w:val="00FB4D01"/>
    <w:rsid w:val="00FB4F83"/>
    <w:rsid w:val="00FB518E"/>
    <w:rsid w:val="00FB6755"/>
    <w:rsid w:val="00FB68AE"/>
    <w:rsid w:val="00FB7F55"/>
    <w:rsid w:val="00FC0965"/>
    <w:rsid w:val="00FC4EEA"/>
    <w:rsid w:val="00FC6AAA"/>
    <w:rsid w:val="00FC7BC6"/>
    <w:rsid w:val="00FD01A9"/>
    <w:rsid w:val="00FD1D64"/>
    <w:rsid w:val="00FD21DE"/>
    <w:rsid w:val="00FD4171"/>
    <w:rsid w:val="00FD6278"/>
    <w:rsid w:val="00FD6AC8"/>
    <w:rsid w:val="00FE22C3"/>
    <w:rsid w:val="00FE4079"/>
    <w:rsid w:val="00FE4286"/>
    <w:rsid w:val="00FE7369"/>
    <w:rsid w:val="00FE79F8"/>
    <w:rsid w:val="00FF15A5"/>
    <w:rsid w:val="00FF161E"/>
    <w:rsid w:val="00FF19A5"/>
    <w:rsid w:val="00FF2ECD"/>
    <w:rsid w:val="00FF3284"/>
    <w:rsid w:val="00FF4605"/>
    <w:rsid w:val="00FF6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4C9F2"/>
  <w15:docId w15:val="{15285CD0-D5E9-4CA2-A089-E8933C8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237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41F"/>
  </w:style>
  <w:style w:type="paragraph" w:styleId="a5">
    <w:name w:val="footer"/>
    <w:basedOn w:val="a"/>
    <w:link w:val="a6"/>
    <w:uiPriority w:val="99"/>
    <w:unhideWhenUsed/>
    <w:rsid w:val="006C6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41F"/>
  </w:style>
  <w:style w:type="paragraph" w:styleId="a7">
    <w:name w:val="Balloon Text"/>
    <w:basedOn w:val="a"/>
    <w:link w:val="a8"/>
    <w:uiPriority w:val="99"/>
    <w:semiHidden/>
    <w:unhideWhenUsed/>
    <w:rsid w:val="00602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identifier">
    <w:name w:val="identifier"/>
    <w:basedOn w:val="a0"/>
    <w:rsid w:val="00B70F5C"/>
  </w:style>
  <w:style w:type="character" w:customStyle="1" w:styleId="id-label">
    <w:name w:val="id-label"/>
    <w:basedOn w:val="a0"/>
    <w:rsid w:val="00B70F5C"/>
  </w:style>
  <w:style w:type="character" w:styleId="a9">
    <w:name w:val="Hyperlink"/>
    <w:basedOn w:val="a0"/>
    <w:uiPriority w:val="99"/>
    <w:unhideWhenUsed/>
    <w:rsid w:val="00B70F5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74169"/>
    <w:pPr>
      <w:ind w:leftChars="400" w:left="840"/>
    </w:pPr>
  </w:style>
  <w:style w:type="paragraph" w:styleId="ab">
    <w:name w:val="Plain Text"/>
    <w:basedOn w:val="a"/>
    <w:link w:val="ac"/>
    <w:uiPriority w:val="99"/>
    <w:unhideWhenUsed/>
    <w:rsid w:val="00966735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rsid w:val="00966735"/>
    <w:rPr>
      <w:rFonts w:ascii="游ゴシック" w:eastAsia="游ゴシック" w:hAnsi="Courier New" w:cs="Courier New"/>
      <w:sz w:val="22"/>
    </w:rPr>
  </w:style>
  <w:style w:type="table" w:styleId="ad">
    <w:name w:val="Table Grid"/>
    <w:basedOn w:val="a1"/>
    <w:uiPriority w:val="39"/>
    <w:rsid w:val="00B9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5635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563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56355"/>
  </w:style>
  <w:style w:type="paragraph" w:styleId="af1">
    <w:name w:val="Revision"/>
    <w:hidden/>
    <w:uiPriority w:val="99"/>
    <w:semiHidden/>
    <w:rsid w:val="00FB4F83"/>
  </w:style>
  <w:style w:type="paragraph" w:customStyle="1" w:styleId="EndNoteBibliographyTitle">
    <w:name w:val="EndNote Bibliography Title"/>
    <w:basedOn w:val="a"/>
    <w:link w:val="EndNoteBibliographyTitle0"/>
    <w:rsid w:val="00AD58C0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AD58C0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AD58C0"/>
    <w:pPr>
      <w:spacing w:line="240" w:lineRule="auto"/>
    </w:pPr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AD58C0"/>
    <w:rPr>
      <w:rFonts w:ascii="游明朝" w:eastAsia="游明朝" w:hAnsi="游明朝"/>
      <w:noProof/>
      <w:sz w:val="20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5A7237"/>
    <w:pPr>
      <w:jc w:val="both"/>
    </w:pPr>
    <w:rPr>
      <w:b/>
      <w:bCs/>
      <w:sz w:val="20"/>
      <w:szCs w:val="20"/>
    </w:rPr>
  </w:style>
  <w:style w:type="character" w:customStyle="1" w:styleId="af3">
    <w:name w:val="コメント内容 (文字)"/>
    <w:basedOn w:val="af0"/>
    <w:link w:val="af2"/>
    <w:uiPriority w:val="99"/>
    <w:semiHidden/>
    <w:rsid w:val="005A7237"/>
    <w:rPr>
      <w:b/>
      <w:bCs/>
      <w:sz w:val="20"/>
      <w:szCs w:val="20"/>
    </w:rPr>
  </w:style>
  <w:style w:type="character" w:customStyle="1" w:styleId="1">
    <w:name w:val="未解決のメンション1"/>
    <w:basedOn w:val="a0"/>
    <w:uiPriority w:val="99"/>
    <w:semiHidden/>
    <w:unhideWhenUsed/>
    <w:rsid w:val="00603C96"/>
    <w:rPr>
      <w:color w:val="605E5C"/>
      <w:shd w:val="clear" w:color="auto" w:fill="E1DFDD"/>
    </w:rPr>
  </w:style>
  <w:style w:type="character" w:styleId="af4">
    <w:name w:val="line number"/>
    <w:basedOn w:val="a0"/>
    <w:uiPriority w:val="99"/>
    <w:semiHidden/>
    <w:unhideWhenUsed/>
    <w:rsid w:val="00BC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67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0695703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37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07026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2935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338003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085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828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903598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412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335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1093082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35FC-A05D-46E9-8D6B-97237599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1338</Words>
  <Characters>7632</Characters>
  <Application>Microsoft Office Word</Application>
  <DocSecurity>0</DocSecurity>
  <Lines>63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china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akika</dc:creator>
  <cp:lastModifiedBy>原田 昭和</cp:lastModifiedBy>
  <cp:revision>45</cp:revision>
  <cp:lastPrinted>2020-03-12T15:03:00Z</cp:lastPrinted>
  <dcterms:created xsi:type="dcterms:W3CDTF">2020-08-26T07:49:00Z</dcterms:created>
  <dcterms:modified xsi:type="dcterms:W3CDTF">2021-09-18T09:43:00Z</dcterms:modified>
</cp:coreProperties>
</file>