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38912" w14:textId="5FB427DC" w:rsidR="008533DE" w:rsidRPr="00324EC3" w:rsidRDefault="008533DE" w:rsidP="008533DE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Supplementary </w:t>
      </w:r>
      <w:r w:rsidR="00EF7E6E">
        <w:rPr>
          <w:rFonts w:ascii="Arial" w:hAnsi="Arial" w:cs="Arial"/>
          <w:b/>
          <w:bCs/>
        </w:rPr>
        <w:t>File 1</w:t>
      </w:r>
      <w:bookmarkStart w:id="0" w:name="_GoBack"/>
      <w:bookmarkEnd w:id="0"/>
      <w:r w:rsidRPr="00306FDC">
        <w:rPr>
          <w:rFonts w:ascii="Arial" w:hAnsi="Arial" w:cs="Arial"/>
          <w:b/>
          <w:bCs/>
        </w:rPr>
        <w:t>: Permutation testing of changes in clonality after transplantation of EPO-exposed HS</w:t>
      </w:r>
      <w:r>
        <w:rPr>
          <w:rFonts w:ascii="Arial" w:hAnsi="Arial" w:cs="Arial"/>
          <w:b/>
          <w:bCs/>
        </w:rPr>
        <w:t>P</w:t>
      </w:r>
      <w:r w:rsidRPr="00306FDC">
        <w:rPr>
          <w:rFonts w:ascii="Arial" w:hAnsi="Arial" w:cs="Arial"/>
          <w:b/>
          <w:bCs/>
        </w:rPr>
        <w:t xml:space="preserve">Cs. </w:t>
      </w:r>
      <w:r w:rsidRPr="00306FDC">
        <w:rPr>
          <w:rFonts w:ascii="Arial" w:hAnsi="Arial" w:cs="Arial"/>
        </w:rPr>
        <w:t>Same data as in Fig</w:t>
      </w:r>
      <w:r>
        <w:rPr>
          <w:rFonts w:ascii="Arial" w:hAnsi="Arial" w:cs="Arial"/>
        </w:rPr>
        <w:t>ure</w:t>
      </w:r>
      <w:r w:rsidR="00CC5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CC5C28">
        <w:rPr>
          <w:rFonts w:ascii="Arial" w:hAnsi="Arial" w:cs="Arial"/>
        </w:rPr>
        <w:t xml:space="preserve"> figure supplement</w:t>
      </w:r>
      <w:r>
        <w:rPr>
          <w:rFonts w:ascii="Arial" w:hAnsi="Arial" w:cs="Arial"/>
        </w:rPr>
        <w:t xml:space="preserve"> 4</w:t>
      </w:r>
      <w:r w:rsidRPr="00306FDC">
        <w:rPr>
          <w:rFonts w:ascii="Arial" w:hAnsi="Arial" w:cs="Arial"/>
        </w:rPr>
        <w:t xml:space="preserve"> and Fig</w:t>
      </w:r>
      <w:r>
        <w:rPr>
          <w:rFonts w:ascii="Arial" w:hAnsi="Arial" w:cs="Arial"/>
        </w:rPr>
        <w:t>ure</w:t>
      </w:r>
      <w:r w:rsidR="00CC5C28">
        <w:rPr>
          <w:rFonts w:ascii="Arial" w:hAnsi="Arial" w:cs="Arial"/>
        </w:rPr>
        <w:t xml:space="preserve"> 1 figure supplement 3</w:t>
      </w:r>
      <w:r w:rsidRPr="00306FDC">
        <w:rPr>
          <w:rFonts w:ascii="Arial" w:hAnsi="Arial" w:cs="Arial"/>
        </w:rPr>
        <w:t>. HS</w:t>
      </w:r>
      <w:r>
        <w:rPr>
          <w:rFonts w:ascii="Arial" w:hAnsi="Arial" w:cs="Arial"/>
        </w:rPr>
        <w:t>P</w:t>
      </w:r>
      <w:r w:rsidRPr="00306FDC">
        <w:rPr>
          <w:rFonts w:ascii="Arial" w:hAnsi="Arial" w:cs="Arial"/>
        </w:rPr>
        <w:t xml:space="preserve">Cs were cultured with EPO (1,000 ng/ml) for 16h. Barcodes in the erythroid (E), myeloid (M), B-lymphoid (B) lineage, </w:t>
      </w:r>
      <w:r>
        <w:rPr>
          <w:rFonts w:ascii="Arial" w:hAnsi="Arial" w:cs="Arial"/>
        </w:rPr>
        <w:t xml:space="preserve">dendritic cell (DC) </w:t>
      </w:r>
      <w:r w:rsidRPr="00306FDC">
        <w:rPr>
          <w:rFonts w:ascii="Arial" w:hAnsi="Arial" w:cs="Arial"/>
        </w:rPr>
        <w:t>and HS</w:t>
      </w:r>
      <w:r>
        <w:rPr>
          <w:rFonts w:ascii="Arial" w:hAnsi="Arial" w:cs="Arial"/>
        </w:rPr>
        <w:t>P</w:t>
      </w:r>
      <w:r w:rsidRPr="00306FDC">
        <w:rPr>
          <w:rFonts w:ascii="Arial" w:hAnsi="Arial" w:cs="Arial"/>
        </w:rPr>
        <w:t>C</w:t>
      </w:r>
      <w:r>
        <w:rPr>
          <w:rFonts w:ascii="Arial" w:hAnsi="Arial" w:cs="Arial"/>
        </w:rPr>
        <w:t>s</w:t>
      </w:r>
      <w:r w:rsidRPr="00306FDC">
        <w:rPr>
          <w:rFonts w:ascii="Arial" w:hAnsi="Arial" w:cs="Arial"/>
        </w:rPr>
        <w:t xml:space="preserve">, were analyzed four weeks after transplantation and categorized by bias using a 10% threshold. </w:t>
      </w:r>
      <w:r w:rsidR="00CC5C28">
        <w:rPr>
          <w:rFonts w:ascii="Arial" w:hAnsi="Arial" w:cs="Arial"/>
        </w:rPr>
        <w:t>T</w:t>
      </w:r>
      <w:r w:rsidRPr="00306FDC">
        <w:rPr>
          <w:rFonts w:ascii="Arial" w:hAnsi="Arial" w:cs="Arial"/>
        </w:rPr>
        <w:t>he output of MB and ME classified barcodes to the B, M, and E lineages was analyzed using a permutation test</w:t>
      </w:r>
      <w:r>
        <w:rPr>
          <w:rFonts w:ascii="Arial" w:hAnsi="Arial" w:cs="Arial"/>
        </w:rPr>
        <w:t xml:space="preserve">. </w:t>
      </w:r>
      <w:r w:rsidRPr="00306FDC">
        <w:rPr>
          <w:rFonts w:ascii="Arial" w:hAnsi="Arial" w:cs="Arial"/>
        </w:rPr>
        <w:t xml:space="preserve">By permutating the mice of control and EPO groups, the random distribution of this output was generated and compared to the real output difference between control and EPO group. A p-value was generated </w:t>
      </w:r>
      <w:r w:rsidR="008A669F">
        <w:rPr>
          <w:rFonts w:ascii="Arial" w:hAnsi="Arial" w:cs="Arial"/>
        </w:rPr>
        <w:t>using permutation testing</w:t>
      </w:r>
      <w:r w:rsidR="00FB21CA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992"/>
        <w:gridCol w:w="1197"/>
        <w:gridCol w:w="1355"/>
        <w:gridCol w:w="1082"/>
      </w:tblGrid>
      <w:tr w:rsidR="00FB21CA" w14:paraId="13821018" w14:textId="77777777" w:rsidTr="00FB21CA">
        <w:tc>
          <w:tcPr>
            <w:tcW w:w="1696" w:type="dxa"/>
            <w:vMerge w:val="restart"/>
          </w:tcPr>
          <w:p w14:paraId="6FCE6D66" w14:textId="75495DD8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Figure</w:t>
            </w:r>
            <w:r w:rsidR="00FB21C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B21CA" w:rsidRPr="00E719A4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FB21CA">
              <w:rPr>
                <w:rFonts w:ascii="Arial" w:hAnsi="Arial" w:cs="Arial"/>
                <w:b/>
                <w:sz w:val="20"/>
                <w:szCs w:val="20"/>
              </w:rPr>
              <w:t>figure supplement</w:t>
            </w:r>
          </w:p>
        </w:tc>
        <w:tc>
          <w:tcPr>
            <w:tcW w:w="2694" w:type="dxa"/>
            <w:vMerge w:val="restart"/>
          </w:tcPr>
          <w:p w14:paraId="5D47D79E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Condition</w:t>
            </w:r>
          </w:p>
        </w:tc>
        <w:tc>
          <w:tcPr>
            <w:tcW w:w="4626" w:type="dxa"/>
            <w:gridSpan w:val="4"/>
          </w:tcPr>
          <w:p w14:paraId="2827A217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p-value</w:t>
            </w:r>
          </w:p>
        </w:tc>
      </w:tr>
      <w:tr w:rsidR="00FB21CA" w14:paraId="2324FBB7" w14:textId="77777777" w:rsidTr="00FB21CA">
        <w:tc>
          <w:tcPr>
            <w:tcW w:w="1696" w:type="dxa"/>
            <w:vMerge/>
          </w:tcPr>
          <w:p w14:paraId="7FB023FC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23616E63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BD49EE8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MB in B</w:t>
            </w:r>
          </w:p>
        </w:tc>
        <w:tc>
          <w:tcPr>
            <w:tcW w:w="1197" w:type="dxa"/>
          </w:tcPr>
          <w:p w14:paraId="56E12D68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MB in M</w:t>
            </w:r>
          </w:p>
        </w:tc>
        <w:tc>
          <w:tcPr>
            <w:tcW w:w="1355" w:type="dxa"/>
          </w:tcPr>
          <w:p w14:paraId="1797C3D4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ME in E</w:t>
            </w:r>
          </w:p>
        </w:tc>
        <w:tc>
          <w:tcPr>
            <w:tcW w:w="1082" w:type="dxa"/>
          </w:tcPr>
          <w:p w14:paraId="344055B6" w14:textId="7777777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A4">
              <w:rPr>
                <w:rFonts w:ascii="Arial" w:hAnsi="Arial" w:cs="Arial"/>
                <w:b/>
                <w:sz w:val="20"/>
                <w:szCs w:val="20"/>
              </w:rPr>
              <w:t>ME in M</w:t>
            </w:r>
          </w:p>
        </w:tc>
      </w:tr>
      <w:tr w:rsidR="00FB21CA" w14:paraId="587B93E3" w14:textId="77777777" w:rsidTr="00FB21CA">
        <w:tc>
          <w:tcPr>
            <w:tcW w:w="1696" w:type="dxa"/>
          </w:tcPr>
          <w:p w14:paraId="5CD951BA" w14:textId="32511573" w:rsidR="008533DE" w:rsidRPr="00E719A4" w:rsidRDefault="00FB21CA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14:paraId="182139E5" w14:textId="051029A7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HSPCs </w:t>
            </w:r>
            <w:r w:rsidRPr="00E719A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B21CA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E719A4">
              <w:rPr>
                <w:rFonts w:ascii="Arial" w:hAnsi="Arial" w:cs="Arial"/>
                <w:b/>
                <w:sz w:val="20"/>
                <w:szCs w:val="20"/>
              </w:rPr>
              <w:t>0 ng/ml</w:t>
            </w:r>
            <w:r w:rsidR="00FB21CA">
              <w:rPr>
                <w:rFonts w:ascii="Arial" w:hAnsi="Arial" w:cs="Arial"/>
                <w:b/>
                <w:sz w:val="20"/>
                <w:szCs w:val="20"/>
              </w:rPr>
              <w:t xml:space="preserve"> repeat</w:t>
            </w:r>
          </w:p>
        </w:tc>
        <w:tc>
          <w:tcPr>
            <w:tcW w:w="992" w:type="dxa"/>
          </w:tcPr>
          <w:p w14:paraId="4DB6BA31" w14:textId="79E5FB75" w:rsidR="008533DE" w:rsidRPr="00E719A4" w:rsidRDefault="00DE05D3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0.01</w:t>
            </w:r>
          </w:p>
        </w:tc>
        <w:tc>
          <w:tcPr>
            <w:tcW w:w="1197" w:type="dxa"/>
          </w:tcPr>
          <w:p w14:paraId="7611C5E2" w14:textId="3AF3EE18" w:rsidR="008533DE" w:rsidRPr="00E719A4" w:rsidRDefault="00DE05D3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0.0083</w:t>
            </w:r>
          </w:p>
        </w:tc>
        <w:tc>
          <w:tcPr>
            <w:tcW w:w="1355" w:type="dxa"/>
          </w:tcPr>
          <w:p w14:paraId="22E1785F" w14:textId="569D224D" w:rsidR="008533DE" w:rsidRPr="00E719A4" w:rsidRDefault="00DE05D3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0.0087</w:t>
            </w:r>
          </w:p>
        </w:tc>
        <w:tc>
          <w:tcPr>
            <w:tcW w:w="1082" w:type="dxa"/>
          </w:tcPr>
          <w:p w14:paraId="3ED3A55C" w14:textId="5F201FAA" w:rsidR="008533DE" w:rsidRPr="00E719A4" w:rsidRDefault="00DE05D3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0.0087</w:t>
            </w:r>
          </w:p>
        </w:tc>
      </w:tr>
      <w:tr w:rsidR="00FB21CA" w14:paraId="2405A34A" w14:textId="77777777" w:rsidTr="00FB21CA">
        <w:tc>
          <w:tcPr>
            <w:tcW w:w="1696" w:type="dxa"/>
          </w:tcPr>
          <w:p w14:paraId="17E540A9" w14:textId="4396D2FD" w:rsidR="008533DE" w:rsidRPr="00E719A4" w:rsidRDefault="00FB21CA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14:paraId="50EE5B06" w14:textId="09730C0C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HSPCs </w:t>
            </w:r>
            <w:r w:rsidRPr="00E719A4">
              <w:rPr>
                <w:rFonts w:ascii="Arial" w:hAnsi="Arial" w:cs="Arial"/>
                <w:b/>
                <w:sz w:val="20"/>
                <w:szCs w:val="20"/>
              </w:rPr>
              <w:t>1000 ng/ml</w:t>
            </w:r>
            <w:r w:rsidR="00FB21CA">
              <w:rPr>
                <w:rFonts w:ascii="Arial" w:hAnsi="Arial" w:cs="Arial"/>
                <w:b/>
                <w:sz w:val="20"/>
                <w:szCs w:val="20"/>
              </w:rPr>
              <w:t xml:space="preserve"> - 6 weeks timepoint</w:t>
            </w:r>
          </w:p>
        </w:tc>
        <w:tc>
          <w:tcPr>
            <w:tcW w:w="992" w:type="dxa"/>
          </w:tcPr>
          <w:p w14:paraId="6326E7E5" w14:textId="012CF5F0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719A4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FB21CA">
              <w:rPr>
                <w:rFonts w:ascii="Arial" w:hAnsi="Arial" w:cs="Arial"/>
                <w:bCs/>
                <w:sz w:val="20"/>
                <w:szCs w:val="20"/>
              </w:rPr>
              <w:t>.01</w:t>
            </w:r>
          </w:p>
        </w:tc>
        <w:tc>
          <w:tcPr>
            <w:tcW w:w="1197" w:type="dxa"/>
          </w:tcPr>
          <w:p w14:paraId="669B198D" w14:textId="21F5A21C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719A4">
              <w:rPr>
                <w:rFonts w:ascii="Arial" w:hAnsi="Arial" w:cs="Arial"/>
                <w:bCs/>
                <w:sz w:val="20"/>
                <w:szCs w:val="20"/>
              </w:rPr>
              <w:t>0.0</w:t>
            </w:r>
            <w:r w:rsidR="00FB21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355" w:type="dxa"/>
          </w:tcPr>
          <w:p w14:paraId="67301C7F" w14:textId="2AD9058C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719A4">
              <w:rPr>
                <w:rFonts w:ascii="Arial" w:hAnsi="Arial" w:cs="Arial"/>
                <w:bCs/>
                <w:sz w:val="20"/>
                <w:szCs w:val="20"/>
              </w:rPr>
              <w:t>0.0</w:t>
            </w:r>
            <w:r w:rsidR="00FB21CA">
              <w:rPr>
                <w:rFonts w:ascii="Arial" w:hAnsi="Arial" w:cs="Arial"/>
                <w:bCs/>
                <w:sz w:val="20"/>
                <w:szCs w:val="20"/>
              </w:rPr>
              <w:t>138</w:t>
            </w:r>
          </w:p>
        </w:tc>
        <w:tc>
          <w:tcPr>
            <w:tcW w:w="1082" w:type="dxa"/>
          </w:tcPr>
          <w:p w14:paraId="3BC23204" w14:textId="09F81423" w:rsidR="008533DE" w:rsidRPr="00E719A4" w:rsidRDefault="008533DE" w:rsidP="00E719A4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719A4">
              <w:rPr>
                <w:rFonts w:ascii="Arial" w:hAnsi="Arial" w:cs="Arial"/>
                <w:bCs/>
                <w:sz w:val="20"/>
                <w:szCs w:val="20"/>
              </w:rPr>
              <w:t>0.0</w:t>
            </w:r>
            <w:r w:rsidR="00FB21CA">
              <w:rPr>
                <w:rFonts w:ascii="Arial" w:hAnsi="Arial" w:cs="Arial"/>
                <w:bCs/>
                <w:sz w:val="20"/>
                <w:szCs w:val="20"/>
              </w:rPr>
              <w:t>185</w:t>
            </w:r>
          </w:p>
        </w:tc>
      </w:tr>
    </w:tbl>
    <w:p w14:paraId="286D1A54" w14:textId="74D307A6" w:rsidR="008533DE" w:rsidRDefault="008533DE"/>
    <w:p w14:paraId="219CF147" w14:textId="42317FC0" w:rsidR="00FB21CA" w:rsidRDefault="00FB21CA"/>
    <w:sectPr w:rsidR="00FB21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DE"/>
    <w:rsid w:val="005C79FE"/>
    <w:rsid w:val="00601309"/>
    <w:rsid w:val="00653F42"/>
    <w:rsid w:val="00664CA4"/>
    <w:rsid w:val="008533DE"/>
    <w:rsid w:val="008A669F"/>
    <w:rsid w:val="00A0629D"/>
    <w:rsid w:val="00CC5C28"/>
    <w:rsid w:val="00DE05D3"/>
    <w:rsid w:val="00EF7E6E"/>
    <w:rsid w:val="00F73EA7"/>
    <w:rsid w:val="00F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4D22D9"/>
  <w15:chartTrackingRefBased/>
  <w15:docId w15:val="{CC1A7CE9-F73D-B849-AA32-862ACCEA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3DE"/>
    <w:rPr>
      <w:rFonts w:ascii="Times New Roman" w:eastAsia="Times New Roman" w:hAnsi="Times New Roman" w:cs="Times New Roman"/>
      <w:lang w:val="en-US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533D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3E021F-6DB1-DA45-B090-2EE263A1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825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Leïla Perié</cp:lastModifiedBy>
  <cp:revision>13</cp:revision>
  <dcterms:created xsi:type="dcterms:W3CDTF">2021-12-02T08:45:00Z</dcterms:created>
  <dcterms:modified xsi:type="dcterms:W3CDTF">2022-01-20T11:14:00Z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6ccab2e8-a109-34ea-825b-42f1fd1ea8e3</vt:lpwstr>
  </property>
  <property fmtid="{D5CDD505-2E9C-101B-9397-08002B2CF9AE}" pid="4" name="Mendeley Citation Style_1">
    <vt:lpwstr>http://www.zotero.org/styles/blood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http://www.zotero.org/styles/blood</vt:lpwstr>
  </property>
  <property fmtid="{D5CDD505-2E9C-101B-9397-08002B2CF9AE}" pid="12" name="Mendeley Recent Style Name 3_1">
    <vt:lpwstr>Blood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