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E8F" w14:textId="77777777" w:rsidR="00980E67" w:rsidRDefault="00980E67" w:rsidP="00980E67">
      <w:pPr>
        <w:pStyle w:val="Body"/>
      </w:pPr>
      <w:r>
        <w:rPr>
          <w:b/>
          <w:bCs/>
        </w:rPr>
        <w:t xml:space="preserve">Table </w:t>
      </w:r>
      <w:r>
        <w:rPr>
          <w:b/>
          <w:bCs/>
          <w:lang w:val="en-US"/>
        </w:rPr>
        <w:t>S</w:t>
      </w:r>
      <w:proofErr w:type="gramStart"/>
      <w:r>
        <w:rPr>
          <w:b/>
          <w:bCs/>
          <w:lang w:val="en-US"/>
        </w:rPr>
        <w:t>2:</w:t>
      </w:r>
      <w:proofErr w:type="gramEnd"/>
      <w:r>
        <w:rPr>
          <w:b/>
          <w:bCs/>
          <w:lang w:val="en-US"/>
        </w:rPr>
        <w:t xml:space="preserve"> Summary of vector</w:t>
      </w:r>
      <w:r>
        <w:rPr>
          <w:b/>
          <w:bCs/>
          <w:lang w:val="nl-NL"/>
        </w:rPr>
        <w:t xml:space="preserve"> data</w:t>
      </w:r>
      <w:r>
        <w:rPr>
          <w:b/>
          <w:bCs/>
          <w:lang w:val="en-US"/>
        </w:rPr>
        <w:t xml:space="preserve">. </w:t>
      </w:r>
      <w:r>
        <w:rPr>
          <w:lang w:val="en-US"/>
        </w:rPr>
        <w:t>“Physiological competence data” is the data we extracted from published literature on experimental infections of mosquito species with RRV, which we used to model continuous mosquito infection (Figure S</w:t>
      </w:r>
      <w:r>
        <w:rPr>
          <w:vertAlign w:val="subscript"/>
          <w:lang w:val="en-US"/>
        </w:rPr>
        <w:t>m</w:t>
      </w:r>
      <w:r>
        <w:rPr>
          <w:lang w:val="en-US"/>
        </w:rPr>
        <w:t>3) and transmission probability (Figure S</w:t>
      </w:r>
      <w:r>
        <w:rPr>
          <w:vertAlign w:val="subscript"/>
          <w:lang w:val="en-US"/>
        </w:rPr>
        <w:t>m</w:t>
      </w:r>
      <w:r>
        <w:rPr>
          <w:lang w:val="en-US"/>
        </w:rPr>
        <w:t>5) curves. For further detail on the variation in mosquito infection and transmission probabilities see Figure S</w:t>
      </w:r>
      <w:r>
        <w:rPr>
          <w:vertAlign w:val="subscript"/>
          <w:lang w:val="en-US"/>
        </w:rPr>
        <w:t>m</w:t>
      </w:r>
      <w:r>
        <w:rPr>
          <w:lang w:val="en-US"/>
        </w:rPr>
        <w:t>3, Figure S</w:t>
      </w:r>
      <w:r>
        <w:rPr>
          <w:vertAlign w:val="subscript"/>
          <w:lang w:val="en-US"/>
        </w:rPr>
        <w:t>m</w:t>
      </w:r>
      <w:r>
        <w:rPr>
          <w:lang w:val="en-US"/>
        </w:rPr>
        <w:t xml:space="preserve">5, and each listed publication. “Brisbane-specific `ecological` data” includes both the estimated abundances of each host species in Brisbane and the total number of individual mosquitoes of each species included in the blood meal analyses; for a breakdown of the percent of each host species’ blood detected in each mosquito species see Table S4. In the “Source” column “Brisbane-specific `ecological` data”, all three citations were used </w:t>
      </w:r>
      <w:proofErr w:type="spellStart"/>
      <w:r>
        <w:rPr>
          <w:lang w:val="en-US"/>
        </w:rPr>
        <w:t>fro</w:t>
      </w:r>
      <w:proofErr w:type="spellEnd"/>
      <w:r>
        <w:rPr>
          <w:lang w:val="en-US"/>
        </w:rPr>
        <w:t xml:space="preserve"> weekly abundance while only Kay et al. 2007 and Jansen et al. 2009 were used for blood meal data. All sources are listed in the main text’s references section.</w:t>
      </w:r>
    </w:p>
    <w:p w14:paraId="78EB5090" w14:textId="77777777" w:rsidR="00980E67" w:rsidRDefault="00980E67"/>
    <w:tbl>
      <w:tblPr>
        <w:tblpPr w:leftFromText="180" w:rightFromText="180" w:vertAnchor="text" w:tblpX="108" w:tblpY="1"/>
        <w:tblOverlap w:val="never"/>
        <w:tblW w:w="137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18"/>
        <w:gridCol w:w="1454"/>
        <w:gridCol w:w="1438"/>
        <w:gridCol w:w="1521"/>
        <w:gridCol w:w="2544"/>
        <w:gridCol w:w="1440"/>
        <w:gridCol w:w="1609"/>
        <w:gridCol w:w="2099"/>
      </w:tblGrid>
      <w:tr w:rsidR="00884E25" w14:paraId="0D19758A" w14:textId="77777777" w:rsidTr="00980E67">
        <w:trPr>
          <w:trHeight w:val="303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6FBB" w14:textId="77777777" w:rsidR="00884E25" w:rsidRDefault="00EF76B2" w:rsidP="00980E67">
            <w:pPr>
              <w:pStyle w:val="Body"/>
            </w:pPr>
            <w:bookmarkStart w:id="0" w:name="_Hlk72826614"/>
            <w:r>
              <w:rPr>
                <w:b/>
                <w:bCs/>
                <w:lang w:val="en-US"/>
              </w:rPr>
              <w:t>Vector species</w:t>
            </w:r>
          </w:p>
        </w:tc>
        <w:tc>
          <w:tcPr>
            <w:tcW w:w="6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110E" w14:textId="77777777" w:rsidR="00884E25" w:rsidRDefault="00EF76B2" w:rsidP="00980E67">
            <w:pPr>
              <w:pStyle w:val="Body"/>
            </w:pPr>
            <w:r>
              <w:rPr>
                <w:b/>
                <w:bCs/>
                <w:lang w:val="en-US"/>
              </w:rPr>
              <w:t>Physiological competence data</w:t>
            </w:r>
          </w:p>
        </w:tc>
        <w:tc>
          <w:tcPr>
            <w:tcW w:w="5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21CC" w14:textId="77777777" w:rsidR="00884E25" w:rsidRDefault="00EF76B2" w:rsidP="00980E67">
            <w:pPr>
              <w:pStyle w:val="Body"/>
            </w:pPr>
            <w:r>
              <w:rPr>
                <w:b/>
                <w:bCs/>
                <w:lang w:val="en-US"/>
              </w:rPr>
              <w:t>Brisbane-specific “ecological” data</w:t>
            </w:r>
          </w:p>
        </w:tc>
      </w:tr>
      <w:tr w:rsidR="00884E25" w14:paraId="5E07102D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EEE39" w14:textId="77777777" w:rsidR="00884E25" w:rsidRDefault="00884E25" w:rsidP="00980E67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D84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Dose range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7C26A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Infection % range (total infected)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181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Transmission % range (total tested)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A7A4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Source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DF9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Average weekly abundance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69E2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Total number blood </w:t>
            </w: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fed in Brisbane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E362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Source</w:t>
            </w:r>
          </w:p>
        </w:tc>
      </w:tr>
      <w:tr w:rsidR="00884E25" w14:paraId="04026FFD" w14:textId="77777777" w:rsidTr="00980E67">
        <w:trPr>
          <w:trHeight w:val="121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46590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Aedes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notoscriptus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2FA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3.5-7.7 (CCID50, TCID50)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5506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0-100 (774)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CD72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0-100 (217)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3BF8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Doggett and Russell 1997; Ryan, Do &amp; Kay 2000; Watson &amp; Kay 1998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9AB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40BF7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C005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5EF3A71F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ED3D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Aedes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procax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1D12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5.7-7.7 (CCID50)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0232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30-100 (259)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1D0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0-93 (102)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B0F0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Ryan, Do &amp; Kay 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C3A95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6184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06B6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13D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3B605BC4" w14:textId="77777777" w:rsidTr="00980E67">
        <w:trPr>
          <w:trHeight w:val="212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3ACF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Aedes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vigilax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FC48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2.9-9 (CCID50, TCID50, SMIC)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E0AE8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0-100 (2632)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3B5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0-100 (351)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1BF3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Jefferey et al. 2002; Jefferey et al. 2006; Jennings &amp; Kay 1999; Kay &amp; Jennings 2002; Ramirez et al. 2018; Ryan, Do</w:t>
            </w: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&amp; Kay 2000; Watson &amp; Kay 1998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4F3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7199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A73A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4496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7B0BD951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5154" w14:textId="77777777" w:rsidR="00884E25" w:rsidRDefault="00EF76B2" w:rsidP="00980E67"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Coquillettidia</w:t>
            </w:r>
            <w:proofErr w:type="spellEnd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linealis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0FA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4.2-7 (CCID50)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8719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32-100 (301)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D4B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4-92 (150)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B25E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Jefferey et al. 2002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83BD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3151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96FE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63FE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52135059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F4A9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Culex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annulirostris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B129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4.7-8.5 (CCID50, TCID50)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73D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0-83 (508)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F17ED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8-46 (42)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DABA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Doggett,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Klowden</w:t>
            </w:r>
            <w:proofErr w:type="spellEnd"/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&amp; Russell 2001; Ryan, Do &amp; Kay 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06AF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10998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E3DD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576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42DD062F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48F0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ulex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quinquefasciatus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FA87" w14:textId="77777777" w:rsidR="00884E25" w:rsidRDefault="00EF76B2" w:rsidP="00980E67">
            <w:pPr>
              <w:tabs>
                <w:tab w:val="center" w:pos="1023"/>
              </w:tabs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5.2-8.1 (LD50)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D0A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0-22 (484)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B842E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 (0)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AD4C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Kay, Fanning &amp; Carley 1982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41CA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2DE9E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30D2B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2009; Kay et al. 2007</w:t>
            </w:r>
          </w:p>
        </w:tc>
      </w:tr>
      <w:tr w:rsidR="00884E25" w14:paraId="1700F13B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31191" w14:textId="77777777" w:rsidR="00884E25" w:rsidRDefault="00EF76B2" w:rsidP="00980E67"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Culex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sitiens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AF0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5.7-9.3 (CCID50, TCID50)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B69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0-65 (374)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3C686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10-30 (84)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C119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Fanning, Mottram &amp; Kay 1992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39B5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7E5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C7FB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Skinner et al. 2020; Jansen et al. </w:t>
            </w: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2009; Kay et al. 2007</w:t>
            </w:r>
          </w:p>
        </w:tc>
      </w:tr>
      <w:tr w:rsidR="00884E25" w14:paraId="64B8BAE9" w14:textId="77777777" w:rsidTr="00980E67">
        <w:trPr>
          <w:trHeight w:val="607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32074" w14:textId="77777777" w:rsidR="00884E25" w:rsidRDefault="00EF76B2" w:rsidP="00980E67"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Mansonia</w:t>
            </w:r>
            <w:proofErr w:type="spellEnd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uniformis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C893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7.7 (CCID50)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7F5A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80 (5)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724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 (5)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7AF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Ryan, Do &amp; Kay 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FF0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3F9C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0BC0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</w:t>
            </w:r>
          </w:p>
        </w:tc>
      </w:tr>
      <w:tr w:rsidR="00884E25" w14:paraId="66133DE8" w14:textId="77777777" w:rsidTr="00980E67">
        <w:trPr>
          <w:trHeight w:val="91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67B8" w14:textId="77777777" w:rsidR="00884E25" w:rsidRDefault="00EF76B2" w:rsidP="00980E67"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Verrallina</w:t>
            </w:r>
            <w:proofErr w:type="spellEnd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cs="Arial Unicode MS"/>
                <w:i/>
                <w:iCs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funerea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C6F9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4.7-7.7 (CCID50, TCID50)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2317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0-100 (532)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DAA9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25-58 (55)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4CCD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Jefferey et al. 2006; Ryan, Do &amp; Kay 2000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3248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DDE1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E5E4" w14:textId="77777777" w:rsidR="00884E25" w:rsidRDefault="00EF76B2" w:rsidP="00980E67"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Skinner et al. 2020; Jansen et al. 2009</w:t>
            </w:r>
          </w:p>
        </w:tc>
      </w:tr>
      <w:bookmarkEnd w:id="0"/>
    </w:tbl>
    <w:p w14:paraId="67E0293D" w14:textId="77777777" w:rsidR="00884E25" w:rsidRDefault="00884E25">
      <w:pPr>
        <w:pStyle w:val="Body"/>
        <w:widowControl w:val="0"/>
      </w:pPr>
    </w:p>
    <w:sectPr w:rsidR="00884E25"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F60A" w14:textId="77777777" w:rsidR="00EF76B2" w:rsidRDefault="00EF76B2">
      <w:r>
        <w:separator/>
      </w:r>
    </w:p>
  </w:endnote>
  <w:endnote w:type="continuationSeparator" w:id="0">
    <w:p w14:paraId="131CF32D" w14:textId="77777777" w:rsidR="00EF76B2" w:rsidRDefault="00E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D271" w14:textId="77777777" w:rsidR="00EF76B2" w:rsidRDefault="00EF76B2">
      <w:r>
        <w:separator/>
      </w:r>
    </w:p>
  </w:footnote>
  <w:footnote w:type="continuationSeparator" w:id="0">
    <w:p w14:paraId="4FA634A7" w14:textId="77777777" w:rsidR="00EF76B2" w:rsidRDefault="00EF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25"/>
    <w:rsid w:val="00884E25"/>
    <w:rsid w:val="00980E67"/>
    <w:rsid w:val="00E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09FD"/>
  <w15:docId w15:val="{A4CFCC8D-0475-486F-807D-B5F6ADDF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80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E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80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E6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Jo</dc:creator>
  <cp:lastModifiedBy>Jo Jo</cp:lastModifiedBy>
  <cp:revision>2</cp:revision>
  <dcterms:created xsi:type="dcterms:W3CDTF">2021-05-25T16:19:00Z</dcterms:created>
  <dcterms:modified xsi:type="dcterms:W3CDTF">2021-05-25T16:19:00Z</dcterms:modified>
</cp:coreProperties>
</file>