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9A79D6F" w14:textId="01F3C90B" w:rsidR="003A5D36" w:rsidRDefault="003A5D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used our previous experience</w:t>
      </w:r>
      <w:r w:rsidR="00AC769A">
        <w:rPr>
          <w:rFonts w:asciiTheme="minorHAnsi" w:hAnsiTheme="minorHAnsi"/>
        </w:rPr>
        <w:t xml:space="preserve"> and standard within our scientific community</w:t>
      </w:r>
      <w:r>
        <w:rPr>
          <w:rFonts w:asciiTheme="minorHAnsi" w:hAnsiTheme="minorHAnsi"/>
        </w:rPr>
        <w:t xml:space="preserve"> in deciding sample sizes for molecular (Fig 1) and cellular (Fig 2,4) experiments</w:t>
      </w:r>
      <w:r w:rsidR="00AC769A">
        <w:rPr>
          <w:rFonts w:asciiTheme="minorHAnsi" w:hAnsiTheme="minorHAnsi"/>
        </w:rPr>
        <w:t xml:space="preserve"> where</w:t>
      </w:r>
      <w:r>
        <w:rPr>
          <w:rFonts w:asciiTheme="minorHAnsi" w:hAnsiTheme="minorHAnsi"/>
        </w:rPr>
        <w:t xml:space="preserve"> effect sizes are generally large</w:t>
      </w:r>
      <w:r w:rsidR="00AC769A">
        <w:rPr>
          <w:rFonts w:asciiTheme="minorHAnsi" w:hAnsiTheme="minorHAnsi"/>
        </w:rPr>
        <w:t xml:space="preserve"> requiring few samples (note that experimental conditions are compared within a single sample, </w:t>
      </w:r>
      <w:proofErr w:type="gramStart"/>
      <w:r w:rsidR="00AC769A">
        <w:rPr>
          <w:rFonts w:asciiTheme="minorHAnsi" w:hAnsiTheme="minorHAnsi"/>
        </w:rPr>
        <w:t>e.g.</w:t>
      </w:r>
      <w:proofErr w:type="gramEnd"/>
      <w:r w:rsidR="00AC769A">
        <w:rPr>
          <w:rFonts w:asciiTheme="minorHAnsi" w:hAnsiTheme="minorHAnsi"/>
        </w:rPr>
        <w:t xml:space="preserve"> single blood donor)</w:t>
      </w:r>
      <w:r>
        <w:rPr>
          <w:rFonts w:asciiTheme="minorHAnsi" w:hAnsiTheme="minorHAnsi"/>
        </w:rPr>
        <w:t>. In meta-analyses (Fig 3), we were limited to available published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93E157" w:rsidR="00B330BD" w:rsidRPr="00125190" w:rsidRDefault="00EA53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legends, Materials &amp;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C99152" w:rsidR="0015519A" w:rsidRPr="00505C51" w:rsidRDefault="00EA53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 and Materials &amp; Methods (Section 17). All statistical tests are performed on the displayed raw data in figure panels (individual points).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F0494C" w:rsidR="00BC3CCE" w:rsidRPr="00505C51" w:rsidRDefault="00EA53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as experimental conditions were used/compared within each individual human donor/sample (</w:t>
      </w:r>
      <w:proofErr w:type="gramStart"/>
      <w:r>
        <w:rPr>
          <w:rFonts w:asciiTheme="minorHAnsi" w:hAnsiTheme="minorHAnsi"/>
          <w:sz w:val="22"/>
          <w:szCs w:val="22"/>
        </w:rPr>
        <w:t>i.e.</w:t>
      </w:r>
      <w:proofErr w:type="gramEnd"/>
      <w:r>
        <w:rPr>
          <w:rFonts w:asciiTheme="minorHAnsi" w:hAnsiTheme="minorHAnsi"/>
          <w:sz w:val="22"/>
          <w:szCs w:val="22"/>
        </w:rPr>
        <w:t xml:space="preserve"> human donors were not allocated into groups).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4710F02" w:rsidR="00A62B52" w:rsidRPr="00406FF4" w:rsidRDefault="00EA530D" w:rsidP="00EA53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include the most important source data in Table S1-S4 and explicitly included all mathematical model equations in Methods.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6BEFD" w14:textId="77777777" w:rsidR="00077E77" w:rsidRDefault="00077E77" w:rsidP="004215FE">
      <w:r>
        <w:separator/>
      </w:r>
    </w:p>
  </w:endnote>
  <w:endnote w:type="continuationSeparator" w:id="0">
    <w:p w14:paraId="41A5C5CE" w14:textId="77777777" w:rsidR="00077E77" w:rsidRDefault="00077E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88841" w14:textId="77777777" w:rsidR="00077E77" w:rsidRDefault="00077E77" w:rsidP="004215FE">
      <w:r>
        <w:separator/>
      </w:r>
    </w:p>
  </w:footnote>
  <w:footnote w:type="continuationSeparator" w:id="0">
    <w:p w14:paraId="65D43E7F" w14:textId="77777777" w:rsidR="00077E77" w:rsidRDefault="00077E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7E7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D3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69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30D"/>
    <w:rsid w:val="00ED346E"/>
    <w:rsid w:val="00EF7423"/>
    <w:rsid w:val="00F27DEC"/>
    <w:rsid w:val="00F3344F"/>
    <w:rsid w:val="00F46994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A60E13E-F56D-8244-8AC9-ED945685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Omer Dushek</cp:lastModifiedBy>
  <cp:revision>29</cp:revision>
  <dcterms:created xsi:type="dcterms:W3CDTF">2017-06-13T14:43:00Z</dcterms:created>
  <dcterms:modified xsi:type="dcterms:W3CDTF">2021-02-04T11:51:00Z</dcterms:modified>
</cp:coreProperties>
</file>