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pPr>
        <w:rPr>
          <w:rFonts w:asciiTheme="minorHAnsi" w:hAnsiTheme="minorHAnsi"/>
          <w:bCs/>
          <w:sz w:val="22"/>
          <w:szCs w:val="22"/>
        </w:rPr>
      </w:pPr>
    </w:p>
    <w:p>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"http://www.equator-network.org/%20" \t "_blank" </w:instrText>
      </w:r>
      <w:r>
        <w:rPr>
          <w:rFonts w:asciiTheme="minorHAnsi" w:hAnsiTheme="minorHAnsi"/>
          <w:bCs/>
          <w:sz w:val="22"/>
          <w:szCs w:val="22"/>
          <w:lang w:val="en-GB"/>
        </w:rPr>
        <w:fldChar w:fldCharType="separate"/>
      </w:r>
      <w:r>
        <w:rPr>
          <w:rStyle w:val="11"/>
          <w:rFonts w:asciiTheme="minorHAnsi" w:hAnsiTheme="minorHAnsi"/>
          <w:bCs/>
          <w:sz w:val="22"/>
          <w:szCs w:val="22"/>
          <w:lang w:val="en-GB"/>
        </w:rPr>
        <w:t>EQUATOR Network</w:t>
      </w:r>
      <w:r>
        <w:rPr>
          <w:rFonts w:asciiTheme="minorHAnsi" w:hAnsiTheme="minorHAnsi"/>
          <w:bCs/>
          <w:sz w:val="22"/>
          <w:szCs w:val="22"/>
        </w:rPr>
        <w:fldChar w:fldCharType="end"/>
      </w:r>
      <w:r>
        <w:rPr>
          <w:rFonts w:asciiTheme="minorHAnsi" w:hAnsiTheme="minorHAnsi"/>
          <w:bCs/>
          <w:sz w:val="22"/>
          <w:szCs w:val="22"/>
          <w:lang w:val="en-GB"/>
        </w:rPr>
        <w:t>), life science research (see the </w:t>
      </w:r>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"https://biosharing.org/" \t "_blank" </w:instrText>
      </w:r>
      <w:r>
        <w:rPr>
          <w:rFonts w:asciiTheme="minorHAnsi" w:hAnsiTheme="minorHAnsi"/>
          <w:bCs/>
          <w:sz w:val="22"/>
          <w:szCs w:val="22"/>
          <w:lang w:val="en-GB"/>
        </w:rPr>
        <w:fldChar w:fldCharType="separate"/>
      </w:r>
      <w:r>
        <w:rPr>
          <w:rStyle w:val="11"/>
          <w:rFonts w:asciiTheme="minorHAnsi" w:hAnsiTheme="minorHAnsi"/>
          <w:bCs/>
          <w:sz w:val="22"/>
          <w:szCs w:val="22"/>
          <w:lang w:val="en-GB"/>
        </w:rPr>
        <w:t>BioSharing Information Resource</w:t>
      </w:r>
      <w:r>
        <w:rPr>
          <w:rFonts w:asciiTheme="minorHAnsi" w:hAnsiTheme="minorHAnsi"/>
          <w:bCs/>
          <w:sz w:val="22"/>
          <w:szCs w:val="22"/>
        </w:rPr>
        <w:fldChar w:fldCharType="end"/>
      </w:r>
      <w:r>
        <w:rPr>
          <w:rFonts w:asciiTheme="minorHAnsi" w:hAnsiTheme="minorHAnsi"/>
          <w:bCs/>
          <w:sz w:val="22"/>
          <w:szCs w:val="22"/>
          <w:lang w:val="en-GB"/>
        </w:rPr>
        <w:t>), or the </w:t>
      </w:r>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"http://www.plosbiology.org/article/info:doi/10.1371/journal.pbio.1000412" \t "_blank" </w:instrText>
      </w:r>
      <w:r>
        <w:rPr>
          <w:rFonts w:asciiTheme="minorHAnsi" w:hAnsiTheme="minorHAnsi"/>
          <w:bCs/>
          <w:sz w:val="22"/>
          <w:szCs w:val="22"/>
          <w:lang w:val="en-GB"/>
        </w:rPr>
        <w:fldChar w:fldCharType="separate"/>
      </w:r>
      <w:r>
        <w:rPr>
          <w:rStyle w:val="11"/>
          <w:rFonts w:asciiTheme="minorHAnsi" w:hAnsiTheme="minorHAnsi"/>
          <w:bCs/>
          <w:sz w:val="22"/>
          <w:szCs w:val="22"/>
          <w:lang w:val="en-GB"/>
        </w:rPr>
        <w:t>ARRIVE guidelines</w:t>
      </w:r>
      <w:r>
        <w:rPr>
          <w:rFonts w:asciiTheme="minorHAnsi" w:hAnsiTheme="minorHAnsi"/>
          <w:bCs/>
          <w:sz w:val="22"/>
          <w:szCs w:val="22"/>
        </w:rPr>
        <w:fldChar w:fldCharType="end"/>
      </w:r>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pPr>
        <w:rPr>
          <w:rFonts w:asciiTheme="minorHAnsi" w:hAnsiTheme="minorHAnsi"/>
          <w:bCs/>
        </w:rPr>
      </w:pPr>
    </w:p>
    <w:p>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r>
        <w:fldChar w:fldCharType="begin"/>
      </w:r>
      <w:r>
        <w:instrText xml:space="preserve"> HYPERLINK "mailto:editorial@elifesciences.org" </w:instrText>
      </w:r>
      <w:r>
        <w:fldChar w:fldCharType="separate"/>
      </w:r>
      <w:r>
        <w:rPr>
          <w:rStyle w:val="11"/>
          <w:rFonts w:asciiTheme="minorHAnsi" w:hAnsiTheme="minorHAnsi"/>
          <w:bCs/>
          <w:sz w:val="22"/>
          <w:szCs w:val="22"/>
        </w:rPr>
        <w:t>editorial@elifesciences.org</w:t>
      </w:r>
      <w:r>
        <w:rPr>
          <w:rStyle w:val="11"/>
          <w:rFonts w:asciiTheme="minorHAnsi" w:hAnsiTheme="minorHAnsi"/>
          <w:bCs/>
          <w:sz w:val="22"/>
          <w:szCs w:val="22"/>
        </w:rPr>
        <w:fldChar w:fldCharType="end"/>
      </w:r>
      <w:r>
        <w:rPr>
          <w:rFonts w:asciiTheme="minorHAnsi" w:hAnsiTheme="minorHAnsi"/>
          <w:bCs/>
          <w:sz w:val="22"/>
          <w:szCs w:val="22"/>
        </w:rPr>
        <w:t>.</w:t>
      </w:r>
    </w:p>
    <w:p>
      <w:pPr>
        <w:rPr>
          <w:rFonts w:asciiTheme="minorHAnsi" w:hAnsiTheme="minorHAnsi"/>
          <w:b/>
          <w:bCs/>
          <w:color w:val="3366FF"/>
          <w:sz w:val="22"/>
          <w:szCs w:val="22"/>
        </w:rPr>
      </w:pPr>
    </w:p>
    <w:p>
      <w:pPr>
        <w:rPr>
          <w:rFonts w:asciiTheme="minorHAnsi" w:hAnsiTheme="minorHAnsi"/>
          <w:sz w:val="22"/>
          <w:szCs w:val="22"/>
        </w:rPr>
      </w:pPr>
      <w:r>
        <w:rPr>
          <w:rFonts w:asciiTheme="minorHAnsi" w:hAnsiTheme="minorHAnsi"/>
          <w:b/>
          <w:bCs/>
          <w:sz w:val="22"/>
          <w:szCs w:val="22"/>
        </w:rPr>
        <w:t>Sample-size estimation</w:t>
      </w:r>
    </w:p>
    <w:p>
      <w:pPr>
        <w:pStyle w:val="18"/>
        <w:numPr>
          <w:ilvl w:val="0"/>
          <w:numId w:val="1"/>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pPr>
        <w:pStyle w:val="18"/>
        <w:numPr>
          <w:ilvl w:val="0"/>
          <w:numId w:val="1"/>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pPr>
        <w:pStyle w:val="18"/>
        <w:numPr>
          <w:ilvl w:val="0"/>
          <w:numId w:val="1"/>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hint="default" w:asciiTheme="minorHAnsi" w:hAnsiTheme="minorHAnsi"/>
          <w:lang w:val="en"/>
        </w:rPr>
      </w:pPr>
      <w:r>
        <w:rPr>
          <w:rFonts w:hint="default" w:asciiTheme="minorHAnsi" w:hAnsiTheme="minorHAnsi"/>
          <w:lang w:val="en"/>
        </w:rPr>
        <w:t>A prior power analysis is not applicable to our submission. Our prior exploratory work with MPRAs in the retina has established that three biological replicates is sufficient to reproducibly detect the effect sizes we discuss in the study. In these experiments, an appropriate sample size is determined by the reproducibility of biological replicates. Three replicates is the minimum number of replicates required to determine if a replicate is an outlier and is sufficient to detect small effect sizes given the size of the libraries and the depth of sequencing.</w:t>
      </w:r>
    </w:p>
    <w:p>
      <w:pPr>
        <w:rPr>
          <w:rFonts w:asciiTheme="minorHAnsi" w:hAnsiTheme="minorHAnsi"/>
          <w:sz w:val="22"/>
          <w:szCs w:val="22"/>
          <w:lang w:val="en-GB"/>
        </w:rPr>
      </w:pPr>
    </w:p>
    <w:p>
      <w:pPr>
        <w:rPr>
          <w:rFonts w:asciiTheme="minorHAnsi" w:hAnsiTheme="minorHAnsi"/>
          <w:sz w:val="22"/>
          <w:szCs w:val="22"/>
        </w:rPr>
      </w:pPr>
      <w:r>
        <w:rPr>
          <w:rFonts w:asciiTheme="minorHAnsi" w:hAnsiTheme="minorHAnsi"/>
          <w:b/>
          <w:bCs/>
          <w:sz w:val="22"/>
          <w:szCs w:val="22"/>
        </w:rPr>
        <w:t>Replicates</w:t>
      </w:r>
    </w:p>
    <w:p>
      <w:pPr>
        <w:pStyle w:val="18"/>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pPr>
        <w:pStyle w:val="18"/>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pPr>
        <w:pStyle w:val="18"/>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pPr>
        <w:pStyle w:val="18"/>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pPr>
        <w:pStyle w:val="18"/>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pPr>
        <w:pStyle w:val="18"/>
        <w:numPr>
          <w:ilvl w:val="0"/>
          <w:numId w:val="2"/>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provided (these are available from both GEO and ArrayExpress)</w:t>
      </w:r>
    </w:p>
    <w:p>
      <w:pPr>
        <w:rPr>
          <w:rFonts w:asciiTheme="minorHAnsi" w:hAnsiTheme="minorHAnsi"/>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hint="default" w:asciiTheme="minorHAnsi" w:hAnsiTheme="minorHAnsi"/>
          <w:lang w:val="en"/>
        </w:rPr>
      </w:pPr>
      <w:r>
        <w:rPr>
          <w:rFonts w:hint="default" w:asciiTheme="minorHAnsi" w:hAnsiTheme="minorHAnsi"/>
          <w:lang w:val="en"/>
        </w:rPr>
        <w:t>As indicated in “Materials and Methods - Retinal Explant Electroporation”, each experiment (2 libraries x 2 promoters) was performed in three biological replicates. A biological replicate is defined as a pool of five electroporated retinas. No data was excluded because of the high reproducibility between replicates. Sequencing data is available on GEO as indicated in “Code and Data Availability”.</w:t>
      </w:r>
    </w:p>
    <w:p>
      <w:pPr>
        <w:rPr>
          <w:rFonts w:asciiTheme="minorHAnsi" w:hAnsiTheme="minorHAnsi"/>
          <w:b/>
          <w:bCs/>
        </w:rPr>
      </w:pPr>
    </w:p>
    <w:p>
      <w:pPr>
        <w:rPr>
          <w:rFonts w:asciiTheme="minorHAnsi" w:hAnsiTheme="minorHAnsi"/>
          <w:b/>
          <w:bCs/>
        </w:rPr>
      </w:pPr>
      <w:r>
        <w:rPr>
          <w:rFonts w:asciiTheme="minorHAnsi" w:hAnsiTheme="minorHAnsi"/>
          <w:b/>
          <w:bCs/>
        </w:rPr>
        <w:br w:type="page"/>
      </w:r>
    </w:p>
    <w:p>
      <w:pPr>
        <w:rPr>
          <w:rFonts w:asciiTheme="minorHAnsi" w:hAnsiTheme="minorHAnsi"/>
          <w:sz w:val="22"/>
          <w:szCs w:val="22"/>
        </w:rPr>
      </w:pPr>
      <w:r>
        <w:rPr>
          <w:rFonts w:asciiTheme="minorHAnsi" w:hAnsiTheme="minorHAnsi"/>
          <w:b/>
          <w:bCs/>
          <w:sz w:val="22"/>
          <w:szCs w:val="22"/>
        </w:rPr>
        <w:t>Statistical reporting</w:t>
      </w:r>
    </w:p>
    <w:p>
      <w:pPr>
        <w:pStyle w:val="18"/>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pPr>
        <w:pStyle w:val="18"/>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pPr>
        <w:pStyle w:val="18"/>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pPr>
        <w:pStyle w:val="18"/>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21"/>
        <w:pBdr>
          <w:top w:val="single" w:color="auto" w:sz="6" w:space="1"/>
          <w:left w:val="single" w:color="auto" w:sz="6" w:space="1"/>
          <w:bottom w:val="single" w:color="auto" w:sz="6" w:space="1"/>
          <w:right w:val="single" w:color="auto" w:sz="6" w:space="1"/>
        </w:pBdr>
        <w:rPr>
          <w:rFonts w:hint="default" w:asciiTheme="minorHAnsi" w:hAnsiTheme="minorHAnsi"/>
          <w:sz w:val="22"/>
          <w:szCs w:val="22"/>
          <w:lang w:val="en"/>
        </w:rPr>
      </w:pPr>
      <w:r>
        <w:rPr>
          <w:rFonts w:hint="default" w:asciiTheme="minorHAnsi" w:hAnsiTheme="minorHAnsi"/>
          <w:sz w:val="22"/>
          <w:szCs w:val="22"/>
          <w:lang w:val="en"/>
        </w:rPr>
        <w:t>All details on data processing and statistical methods are found in the “Data Processing” and “Assignment of Activity Classes” sections of the Materials and Methods. Horizontal lines in violin plots represents median. Exact p-values, statistical tests, and N are always stated in the text and/or figures at each point where new results are described.</w:t>
      </w:r>
    </w:p>
    <w:p>
      <w:pPr>
        <w:rPr>
          <w:rFonts w:asciiTheme="minorHAnsi" w:hAnsiTheme="minorHAnsi"/>
          <w:bCs/>
          <w:sz w:val="22"/>
          <w:szCs w:val="22"/>
        </w:rPr>
      </w:pPr>
    </w:p>
    <w:p>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Group allocation</w:t>
      </w:r>
    </w:p>
    <w:p>
      <w:pPr>
        <w:pStyle w:val="18"/>
        <w:numPr>
          <w:ilvl w:val="0"/>
          <w:numId w:val="1"/>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18"/>
        <w:numPr>
          <w:ilvl w:val="0"/>
          <w:numId w:val="1"/>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pPr>
        <w:rPr>
          <w:rFonts w:asciiTheme="minorHAnsi" w:hAnsiTheme="minorHAnsi"/>
          <w:b/>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hint="default" w:asciiTheme="minorHAnsi" w:hAnsiTheme="minorHAnsi"/>
          <w:i w:val="0"/>
          <w:iCs w:val="0"/>
          <w:sz w:val="22"/>
          <w:szCs w:val="22"/>
          <w:lang w:val="en"/>
        </w:rPr>
      </w:pPr>
      <w:r>
        <w:rPr>
          <w:rFonts w:hint="default" w:asciiTheme="minorHAnsi" w:hAnsiTheme="minorHAnsi"/>
          <w:sz w:val="22"/>
          <w:szCs w:val="22"/>
          <w:lang w:val="en"/>
        </w:rPr>
        <w:t>This is not relevant to the study. There are no groups to be allocated in this work.</w:t>
      </w: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Additional data files (“source data”)</w:t>
      </w:r>
    </w:p>
    <w:p>
      <w:pPr>
        <w:pStyle w:val="18"/>
        <w:numPr>
          <w:ilvl w:val="0"/>
          <w:numId w:val="4"/>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pPr>
        <w:pStyle w:val="18"/>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pPr>
        <w:pStyle w:val="18"/>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pPr>
        <w:pStyle w:val="18"/>
        <w:numPr>
          <w:ilvl w:val="0"/>
          <w:numId w:val="5"/>
        </w:numPr>
        <w:rPr>
          <w:rFonts w:asciiTheme="minorHAnsi" w:hAnsiTheme="minorHAnsi"/>
          <w:sz w:val="22"/>
          <w:szCs w:val="22"/>
        </w:rPr>
      </w:pPr>
      <w:r>
        <w:rPr>
          <w:rFonts w:asciiTheme="minorHAnsi" w:hAnsiTheme="minorHAnsi"/>
          <w:sz w:val="22"/>
          <w:szCs w:val="22"/>
        </w:rPr>
        <w:t>Include code used for data analysis (e.g., R, MatLab)</w:t>
      </w:r>
    </w:p>
    <w:p>
      <w:pPr>
        <w:pStyle w:val="18"/>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pPr>
        <w:rPr>
          <w:rFonts w:asciiTheme="minorHAnsi" w:hAnsiTheme="minorHAnsi"/>
          <w:sz w:val="16"/>
          <w:szCs w:val="16"/>
        </w:rPr>
      </w:pPr>
    </w:p>
    <w:p>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hint="default" w:asciiTheme="minorHAnsi" w:hAnsiTheme="minorHAnsi"/>
          <w:sz w:val="22"/>
          <w:szCs w:val="22"/>
          <w:lang w:val="en"/>
        </w:rPr>
      </w:pPr>
      <w:r>
        <w:rPr>
          <w:rFonts w:hint="default" w:asciiTheme="minorHAnsi" w:hAnsiTheme="minorHAnsi"/>
          <w:sz w:val="22"/>
          <w:szCs w:val="22"/>
          <w:lang w:val="en"/>
        </w:rPr>
        <w:t>All data are provided as Supplementary Files and are referenced throughout the manuscript. Complete details of the Supplementary Files are in the section “Supplementary Files”.</w:t>
      </w:r>
      <w:bookmarkStart w:id="0" w:name="_GoBack"/>
      <w:bookmarkEnd w:id="0"/>
      <w:r>
        <w:rPr>
          <w:rFonts w:hint="default" w:asciiTheme="minorHAnsi" w:hAnsiTheme="minorHAnsi"/>
          <w:sz w:val="22"/>
          <w:szCs w:val="22"/>
          <w:lang w:val="en"/>
        </w:rPr>
        <w:t xml:space="preserve"> All code is available on Github as indicated in “Data and Code Availability”.</w:t>
      </w:r>
    </w:p>
    <w:p>
      <w:pPr>
        <w:rPr>
          <w:rFonts w:asciiTheme="minorHAnsi" w:hAnsiTheme="minorHAnsi"/>
          <w:sz w:val="22"/>
          <w:szCs w:val="22"/>
        </w:rPr>
      </w:pPr>
    </w:p>
    <w:sectPr>
      <w:headerReference r:id="rId3" w:type="default"/>
      <w:footerReference r:id="rId4" w:type="default"/>
      <w:footerReference r:id="rId5" w:type="even"/>
      <w:type w:val="continuous"/>
      <w:pgSz w:w="11900" w:h="16840"/>
      <w:pgMar w:top="1440" w:right="1797" w:bottom="993" w:left="1843" w:header="567"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SimSun">
    <w:altName w:val="Droid Sans Fallback"/>
    <w:panose1 w:val="02010600030101010101"/>
    <w:charset w:val="86"/>
    <w:family w:val="auto"/>
    <w:pitch w:val="default"/>
    <w:sig w:usb0="00000000" w:usb1="00000000" w:usb2="00000010" w:usb3="00000000" w:csb0="00040001" w:csb1="00000000"/>
  </w:font>
  <w:font w:name="Cambria">
    <w:panose1 w:val="02040503050406030204"/>
    <w:charset w:val="00"/>
    <w:family w:val="auto"/>
    <w:pitch w:val="default"/>
    <w:sig w:usb0="A00002EF" w:usb1="4000004B" w:usb2="00000000" w:usb3="00000000" w:csb0="2000009F" w:csb1="00000000"/>
  </w:font>
  <w:font w:name="MS Minngs">
    <w:altName w:val="Times New Roman"/>
    <w:panose1 w:val="00000000000000000000"/>
    <w:charset w:val="80"/>
    <w:family w:val="roman"/>
    <w:pitch w:val="default"/>
    <w:sig w:usb0="00000000" w:usb1="00000000" w:usb2="00000010" w:usb3="00000000" w:csb0="00020000" w:csb1="00000000"/>
  </w:font>
  <w:font w:name="Lucida Grande">
    <w:altName w:val="Courier New"/>
    <w:panose1 w:val="020B0600040502020204"/>
    <w:charset w:val="00"/>
    <w:family w:val="auto"/>
    <w:pitch w:val="default"/>
    <w:sig w:usb0="00000000" w:usb1="00000000" w:usb2="00000000" w:usb3="00000000" w:csb0="000001BF" w:csb1="00000000"/>
  </w:font>
  <w:font w:name="Symbol">
    <w:altName w:val="D050000L"/>
    <w:panose1 w:val="00000000000000000000"/>
    <w:charset w:val="02"/>
    <w:family w:val="auto"/>
    <w:pitch w:val="default"/>
    <w:sig w:usb0="00000000" w:usb1="00000000" w:usb2="00000000" w:usb3="00000000" w:csb0="80000000" w:csb1="00000000"/>
  </w:font>
  <w:font w:name="Wingdings">
    <w:altName w:val="Standard Symbols PS"/>
    <w:panose1 w:val="05000000000000000000"/>
    <w:charset w:val="02"/>
    <w:family w:val="auto"/>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D050000L">
    <w:panose1 w:val="01010601010101010101"/>
    <w:charset w:val="00"/>
    <w:family w:val="auto"/>
    <w:pitch w:val="default"/>
    <w:sig w:usb0="00000003" w:usb1="00000000" w:usb2="00000000" w:usb3="00000000" w:csb0="00000001" w:csb1="00000000"/>
  </w:font>
  <w:font w:name="Droid Sans Fallback">
    <w:panose1 w:val="020B0502000000000001"/>
    <w:charset w:val="86"/>
    <w:family w:val="auto"/>
    <w:pitch w:val="default"/>
    <w:sig w:usb0="910002FF" w:usb1="2BDFFCFB" w:usb2="00000036" w:usb3="00000000" w:csb0="203F01FF" w:csb1="D7FF0000"/>
  </w:font>
  <w:font w:name="Andale Mono">
    <w:panose1 w:val="020B0509000000000004"/>
    <w:charset w:val="00"/>
    <w:family w:val="auto"/>
    <w:pitch w:val="default"/>
    <w:sig w:usb0="00000287" w:usb1="00000000"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page" w:x="9943" w:y="195"/>
      <w:rPr>
        <w:rStyle w:val="12"/>
      </w:rPr>
    </w:pPr>
    <w:r>
      <w:rPr>
        <w:rStyle w:val="12"/>
        <w:rFonts w:asciiTheme="minorHAnsi" w:hAnsiTheme="minorHAnsi"/>
        <w:sz w:val="20"/>
        <w:szCs w:val="20"/>
      </w:rPr>
      <w:fldChar w:fldCharType="begin"/>
    </w:r>
    <w:r>
      <w:rPr>
        <w:rStyle w:val="12"/>
        <w:rFonts w:asciiTheme="minorHAnsi" w:hAnsiTheme="minorHAnsi"/>
        <w:sz w:val="20"/>
        <w:szCs w:val="20"/>
      </w:rPr>
      <w:instrText xml:space="preserve">PAGE  </w:instrText>
    </w:r>
    <w:r>
      <w:rPr>
        <w:rStyle w:val="12"/>
        <w:rFonts w:asciiTheme="minorHAnsi" w:hAnsiTheme="minorHAnsi"/>
        <w:sz w:val="20"/>
        <w:szCs w:val="20"/>
      </w:rPr>
      <w:fldChar w:fldCharType="separate"/>
    </w:r>
    <w:r>
      <w:rPr>
        <w:rStyle w:val="12"/>
        <w:rFonts w:asciiTheme="minorHAnsi" w:hAnsiTheme="minorHAnsi"/>
        <w:sz w:val="20"/>
        <w:szCs w:val="20"/>
      </w:rPr>
      <w:t>2</w:t>
    </w:r>
    <w:r>
      <w:rPr>
        <w:rStyle w:val="12"/>
        <w:rFonts w:asciiTheme="minorHAnsi" w:hAnsiTheme="minorHAnsi"/>
        <w:sz w:val="20"/>
        <w:szCs w:val="20"/>
      </w:rPr>
      <w:fldChar w:fldCharType="end"/>
    </w:r>
  </w:p>
  <w:p>
    <w:pPr>
      <w:pStyle w:val="9"/>
      <w:tabs>
        <w:tab w:val="right" w:pos="9214"/>
        <w:tab w:val="clear" w:pos="8640"/>
      </w:tabs>
      <w:ind w:left="-709" w:right="36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9"/>
      <w:framePr w:wrap="around" w:vAnchor="text" w:hAnchor="margin" w:xAlign="center" w:y="1"/>
      <w:ind w:right="360"/>
      <w:rPr>
        <w:rStyle w:val="12"/>
      </w:rPr>
    </w:pPr>
    <w:r>
      <w:rPr>
        <w:rStyle w:val="12"/>
      </w:rPr>
      <w:fldChar w:fldCharType="begin"/>
    </w:r>
    <w:r>
      <w:rPr>
        <w:rStyle w:val="12"/>
      </w:rPr>
      <w:instrText xml:space="preserve">PAGE  </w:instrText>
    </w:r>
    <w:r>
      <w:rPr>
        <w:rStyle w:val="12"/>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134"/>
    </w:pPr>
    <w:r>
      <w:drawing>
        <wp:inline distT="0" distB="0" distL="0" distR="0">
          <wp:extent cx="4325620" cy="803275"/>
          <wp:effectExtent l="0" t="0" r="0" b="9525"/>
          <wp:docPr id="5" name="Picture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true" noChangeArrowheads="true"/>
                  </pic:cNvPicPr>
                </pic:nvPicPr>
                <pic:blipFill>
                  <a:blip r:embed="rId1">
                    <a:extLst>
                      <a:ext uri="{28A0092B-C50C-407E-A947-70E740481C1C}">
                        <a14:useLocalDpi xmlns:a14="http://schemas.microsoft.com/office/drawing/2010/main" val="false"/>
                      </a:ext>
                    </a:extLst>
                  </a:blip>
                  <a:srcRect/>
                  <a:stretch>
                    <a:fillRect/>
                  </a:stretch>
                </pic:blipFill>
                <pic:spPr>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14482"/>
    <w:multiLevelType w:val="multilevel"/>
    <w:tmpl w:val="02D1448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0482261A"/>
    <w:multiLevelType w:val="multilevel"/>
    <w:tmpl w:val="0482261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21197CE7"/>
    <w:multiLevelType w:val="multilevel"/>
    <w:tmpl w:val="21197CE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3">
    <w:nsid w:val="4322242C"/>
    <w:multiLevelType w:val="multilevel"/>
    <w:tmpl w:val="432224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4">
    <w:nsid w:val="708C0602"/>
    <w:multiLevelType w:val="multilevel"/>
    <w:tmpl w:val="708C060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81"/>
  <w:drawingGridVerticalSpacing w:val="18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 w:val="39FBD656"/>
    <w:rsid w:val="491FD00D"/>
    <w:rsid w:val="7BBEC712"/>
    <w:rsid w:val="B8FF7B12"/>
    <w:rsid w:val="F6DBDE4E"/>
    <w:rsid w:val="FBF58ADF"/>
    <w:rsid w:val="FE9E558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w:hAnsi="Cambria" w:eastAsia="MS Minngs"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rPr>
      <w:rFonts w:ascii="Cambria" w:hAnsi="Cambria" w:eastAsia="MS Minngs" w:cs="Times New Roman"/>
      <w:sz w:val="24"/>
      <w:szCs w:val="24"/>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semiHidden/>
    <w:qFormat/>
    <w:uiPriority w:val="99"/>
    <w:rPr>
      <w:rFonts w:ascii="Lucida Grande" w:hAnsi="Lucida Grande" w:cs="Lucida Grande"/>
      <w:sz w:val="18"/>
      <w:szCs w:val="18"/>
    </w:rPr>
  </w:style>
  <w:style w:type="character" w:styleId="5">
    <w:name w:val="annotation reference"/>
    <w:basedOn w:val="2"/>
    <w:semiHidden/>
    <w:unhideWhenUsed/>
    <w:qFormat/>
    <w:uiPriority w:val="99"/>
    <w:rPr>
      <w:sz w:val="18"/>
      <w:szCs w:val="18"/>
    </w:rPr>
  </w:style>
  <w:style w:type="paragraph" w:styleId="6">
    <w:name w:val="annotation text"/>
    <w:basedOn w:val="1"/>
    <w:link w:val="16"/>
    <w:semiHidden/>
    <w:unhideWhenUsed/>
    <w:qFormat/>
    <w:uiPriority w:val="99"/>
  </w:style>
  <w:style w:type="paragraph" w:styleId="7">
    <w:name w:val="annotation subject"/>
    <w:basedOn w:val="6"/>
    <w:next w:val="6"/>
    <w:link w:val="17"/>
    <w:semiHidden/>
    <w:unhideWhenUsed/>
    <w:qFormat/>
    <w:uiPriority w:val="99"/>
    <w:rPr>
      <w:b/>
      <w:bCs/>
      <w:sz w:val="20"/>
      <w:szCs w:val="20"/>
    </w:rPr>
  </w:style>
  <w:style w:type="character" w:styleId="8">
    <w:name w:val="FollowedHyperlink"/>
    <w:basedOn w:val="2"/>
    <w:semiHidden/>
    <w:unhideWhenUsed/>
    <w:qFormat/>
    <w:uiPriority w:val="99"/>
    <w:rPr>
      <w:color w:val="800080" w:themeColor="followedHyperlink"/>
      <w:u w:val="single"/>
      <w14:textFill>
        <w14:solidFill>
          <w14:schemeClr w14:val="folHlink"/>
        </w14:solidFill>
      </w14:textFill>
    </w:rPr>
  </w:style>
  <w:style w:type="paragraph" w:styleId="9">
    <w:name w:val="footer"/>
    <w:basedOn w:val="1"/>
    <w:link w:val="15"/>
    <w:qFormat/>
    <w:uiPriority w:val="99"/>
    <w:pPr>
      <w:tabs>
        <w:tab w:val="center" w:pos="4320"/>
        <w:tab w:val="right" w:pos="8640"/>
      </w:tabs>
    </w:pPr>
  </w:style>
  <w:style w:type="paragraph" w:styleId="10">
    <w:name w:val="header"/>
    <w:basedOn w:val="1"/>
    <w:link w:val="14"/>
    <w:qFormat/>
    <w:uiPriority w:val="99"/>
    <w:pPr>
      <w:tabs>
        <w:tab w:val="center" w:pos="4320"/>
        <w:tab w:val="right" w:pos="8640"/>
      </w:tabs>
    </w:pPr>
  </w:style>
  <w:style w:type="character" w:styleId="11">
    <w:name w:val="Hyperlink"/>
    <w:basedOn w:val="2"/>
    <w:unhideWhenUsed/>
    <w:qFormat/>
    <w:uiPriority w:val="99"/>
    <w:rPr>
      <w:color w:val="0000FF" w:themeColor="hyperlink"/>
      <w:u w:val="single"/>
      <w14:textFill>
        <w14:solidFill>
          <w14:schemeClr w14:val="hlink"/>
        </w14:solidFill>
      </w14:textFill>
    </w:rPr>
  </w:style>
  <w:style w:type="character" w:styleId="12">
    <w:name w:val="page number"/>
    <w:basedOn w:val="2"/>
    <w:semiHidden/>
    <w:unhideWhenUsed/>
    <w:qFormat/>
    <w:uiPriority w:val="99"/>
  </w:style>
  <w:style w:type="character" w:customStyle="1" w:styleId="13">
    <w:name w:val="Balloon Text Char"/>
    <w:basedOn w:val="2"/>
    <w:link w:val="4"/>
    <w:semiHidden/>
    <w:qFormat/>
    <w:locked/>
    <w:uiPriority w:val="99"/>
    <w:rPr>
      <w:rFonts w:ascii="Lucida Grande" w:hAnsi="Lucida Grande" w:cs="Lucida Grande"/>
      <w:sz w:val="18"/>
      <w:szCs w:val="18"/>
    </w:rPr>
  </w:style>
  <w:style w:type="character" w:customStyle="1" w:styleId="14">
    <w:name w:val="Header Char"/>
    <w:basedOn w:val="2"/>
    <w:link w:val="10"/>
    <w:qFormat/>
    <w:locked/>
    <w:uiPriority w:val="99"/>
    <w:rPr>
      <w:rFonts w:cs="Times New Roman"/>
    </w:rPr>
  </w:style>
  <w:style w:type="character" w:customStyle="1" w:styleId="15">
    <w:name w:val="Footer Char"/>
    <w:basedOn w:val="2"/>
    <w:link w:val="9"/>
    <w:qFormat/>
    <w:locked/>
    <w:uiPriority w:val="99"/>
    <w:rPr>
      <w:rFonts w:cs="Times New Roman"/>
    </w:rPr>
  </w:style>
  <w:style w:type="character" w:customStyle="1" w:styleId="16">
    <w:name w:val="Comment Text Char"/>
    <w:basedOn w:val="2"/>
    <w:link w:val="6"/>
    <w:semiHidden/>
    <w:qFormat/>
    <w:uiPriority w:val="99"/>
    <w:rPr>
      <w:sz w:val="24"/>
      <w:szCs w:val="24"/>
    </w:rPr>
  </w:style>
  <w:style w:type="character" w:customStyle="1" w:styleId="17">
    <w:name w:val="Comment Subject Char"/>
    <w:basedOn w:val="16"/>
    <w:link w:val="7"/>
    <w:semiHidden/>
    <w:qFormat/>
    <w:uiPriority w:val="99"/>
    <w:rPr>
      <w:b/>
      <w:bCs/>
      <w:sz w:val="20"/>
      <w:szCs w:val="20"/>
    </w:rPr>
  </w:style>
  <w:style w:type="paragraph" w:styleId="1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Brandeis University</Company>
  <Pages>2</Pages>
  <Words>666</Words>
  <Characters>3797</Characters>
  <Lines>31</Lines>
  <Paragraphs>8</Paragraphs>
  <TotalTime>84</TotalTime>
  <ScaleCrop>false</ScaleCrop>
  <LinksUpToDate>false</LinksUpToDate>
  <CharactersWithSpaces>4455</CharactersWithSpaces>
  <Application>WPS Office_11.1.0.9719_F1E327BC-269C-435d-A152-05C5408002CA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2017-06-13T08:43:00Z</dcterms:created>
  <dc:creator>Andy Collings</dc:creator>
  <cp:lastModifiedBy>Ryan Friedman</cp:lastModifiedBy>
  <dcterms:modified xsi:type="dcterms:W3CDTF">2021-02-19T16:37:13Z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1033-11.1.0.9719</vt:lpwstr>
  </property>
</Properties>
</file>