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711DF" w14:textId="765B7F3A" w:rsidR="00605600" w:rsidRDefault="002A1110" w:rsidP="00605600">
      <w:pPr>
        <w:spacing w:line="276" w:lineRule="auto"/>
        <w:jc w:val="center"/>
        <w:rPr>
          <w:b/>
          <w:bCs/>
        </w:rPr>
      </w:pPr>
      <w:r w:rsidRPr="00F154AB">
        <w:rPr>
          <w:b/>
          <w:bCs/>
        </w:rPr>
        <w:t xml:space="preserve">SUPPLEMENTARY </w:t>
      </w:r>
      <w:r w:rsidR="00605600">
        <w:rPr>
          <w:b/>
          <w:bCs/>
        </w:rPr>
        <w:t>FILE 1</w:t>
      </w:r>
    </w:p>
    <w:p w14:paraId="7F6A818C" w14:textId="65039CBF" w:rsidR="002A1110" w:rsidRPr="002138D9" w:rsidRDefault="002A1110" w:rsidP="002A1110">
      <w:pPr>
        <w:spacing w:line="276" w:lineRule="auto"/>
        <w:jc w:val="center"/>
        <w:rPr>
          <w:b/>
          <w:bCs/>
        </w:rPr>
      </w:pPr>
    </w:p>
    <w:p w14:paraId="4BC012B8" w14:textId="77777777" w:rsidR="002A1110" w:rsidRDefault="002A1110" w:rsidP="002A1110">
      <w:pPr>
        <w:spacing w:line="276" w:lineRule="auto"/>
        <w:rPr>
          <w:b/>
          <w:bCs/>
        </w:rPr>
      </w:pPr>
    </w:p>
    <w:p w14:paraId="0230B561" w14:textId="77777777" w:rsidR="00E00CEE" w:rsidRPr="00ED2187" w:rsidRDefault="00E00CEE" w:rsidP="00E00CEE">
      <w:pPr>
        <w:spacing w:line="276" w:lineRule="auto"/>
        <w:rPr>
          <w:b/>
          <w:bCs/>
          <w:i/>
          <w:iCs/>
        </w:rPr>
      </w:pPr>
      <w:r w:rsidRPr="00ED2187">
        <w:rPr>
          <w:b/>
          <w:bCs/>
        </w:rPr>
        <w:t xml:space="preserve">The Induction of </w:t>
      </w:r>
      <w:r>
        <w:rPr>
          <w:b/>
          <w:bCs/>
        </w:rPr>
        <w:t xml:space="preserve">a </w:t>
      </w:r>
      <w:r w:rsidRPr="00ED2187">
        <w:rPr>
          <w:b/>
          <w:bCs/>
        </w:rPr>
        <w:t>Pyrenoid by Hyperoxia</w:t>
      </w:r>
      <w:r>
        <w:rPr>
          <w:b/>
          <w:bCs/>
        </w:rPr>
        <w:t xml:space="preserve">: </w:t>
      </w:r>
      <w:r w:rsidRPr="00ED2187">
        <w:rPr>
          <w:b/>
          <w:bCs/>
        </w:rPr>
        <w:t xml:space="preserve">Implications for the Natural Diversity of Photosynthetic Responses in </w:t>
      </w:r>
      <w:r w:rsidRPr="00ED2187">
        <w:rPr>
          <w:b/>
          <w:bCs/>
          <w:i/>
          <w:iCs/>
        </w:rPr>
        <w:t>Chlamydomonas</w:t>
      </w:r>
    </w:p>
    <w:p w14:paraId="2C94D928" w14:textId="77777777" w:rsidR="002A1110" w:rsidRPr="00E30816" w:rsidRDefault="002A1110" w:rsidP="002A1110">
      <w:pPr>
        <w:spacing w:line="276" w:lineRule="auto"/>
      </w:pPr>
    </w:p>
    <w:p w14:paraId="655B8EB9" w14:textId="77777777" w:rsidR="002A1110" w:rsidRPr="00E30816" w:rsidRDefault="002A1110" w:rsidP="002A1110">
      <w:pPr>
        <w:spacing w:line="276" w:lineRule="auto"/>
      </w:pPr>
    </w:p>
    <w:p w14:paraId="047F3C15" w14:textId="64D05809" w:rsidR="002A1110" w:rsidRPr="00A066A9" w:rsidRDefault="002A1110" w:rsidP="00A066A9">
      <w:r w:rsidRPr="00E30816">
        <w:t xml:space="preserve">Peter </w:t>
      </w:r>
      <w:r w:rsidRPr="00A066A9">
        <w:t>Neofotis</w:t>
      </w:r>
      <w:r w:rsidRPr="00A066A9">
        <w:rPr>
          <w:vertAlign w:val="superscript"/>
        </w:rPr>
        <w:t>1</w:t>
      </w:r>
      <w:r w:rsidRPr="00A066A9">
        <w:t>, Joshua Temple</w:t>
      </w:r>
      <w:r w:rsidRPr="00A066A9">
        <w:rPr>
          <w:vertAlign w:val="superscript"/>
        </w:rPr>
        <w:t>1, 5</w:t>
      </w:r>
      <w:r w:rsidRPr="00A066A9">
        <w:t>, Oliver L. Tessmer</w:t>
      </w:r>
      <w:r w:rsidRPr="00A066A9">
        <w:rPr>
          <w:vertAlign w:val="superscript"/>
        </w:rPr>
        <w:t>1</w:t>
      </w:r>
      <w:r w:rsidRPr="00A066A9">
        <w:t>, Jacob Bibik</w:t>
      </w:r>
      <w:r w:rsidRPr="00A066A9">
        <w:rPr>
          <w:vertAlign w:val="superscript"/>
        </w:rPr>
        <w:t>1</w:t>
      </w:r>
      <w:r w:rsidRPr="00A066A9">
        <w:t>, Nicole Norris</w:t>
      </w:r>
      <w:r w:rsidRPr="00A066A9">
        <w:rPr>
          <w:vertAlign w:val="superscript"/>
        </w:rPr>
        <w:t>1</w:t>
      </w:r>
      <w:r w:rsidRPr="00A066A9">
        <w:t>, Eric Poliner</w:t>
      </w:r>
      <w:r w:rsidRPr="00A066A9">
        <w:rPr>
          <w:vertAlign w:val="superscript"/>
        </w:rPr>
        <w:t>1</w:t>
      </w:r>
      <w:r w:rsidRPr="00A066A9">
        <w:t>, Ben Lucker</w:t>
      </w:r>
      <w:r w:rsidRPr="00A066A9">
        <w:rPr>
          <w:vertAlign w:val="superscript"/>
        </w:rPr>
        <w:t>1</w:t>
      </w:r>
      <w:r w:rsidRPr="00A066A9">
        <w:t xml:space="preserve">, </w:t>
      </w:r>
      <w:proofErr w:type="spellStart"/>
      <w:r w:rsidRPr="00A066A9">
        <w:t>Sarathi</w:t>
      </w:r>
      <w:proofErr w:type="spellEnd"/>
      <w:r w:rsidRPr="00A066A9">
        <w:t xml:space="preserve"> </w:t>
      </w:r>
      <w:r w:rsidR="00FD7D06">
        <w:t xml:space="preserve">M. </w:t>
      </w:r>
      <w:r w:rsidR="00A066A9" w:rsidRPr="00A066A9">
        <w:rPr>
          <w:color w:val="000000"/>
          <w:shd w:val="clear" w:color="auto" w:fill="FFFFFF"/>
        </w:rPr>
        <w:t>Weraduwage</w:t>
      </w:r>
      <w:r w:rsidRPr="00A066A9">
        <w:rPr>
          <w:vertAlign w:val="superscript"/>
        </w:rPr>
        <w:t>1,3</w:t>
      </w:r>
      <w:r w:rsidRPr="00A066A9">
        <w:t>, Alecia Withrow</w:t>
      </w:r>
      <w:r w:rsidRPr="00A066A9">
        <w:rPr>
          <w:vertAlign w:val="superscript"/>
        </w:rPr>
        <w:t>2</w:t>
      </w:r>
      <w:r w:rsidRPr="00A066A9">
        <w:t>, Barbara Sears</w:t>
      </w:r>
      <w:r w:rsidRPr="00A066A9">
        <w:rPr>
          <w:vertAlign w:val="superscript"/>
        </w:rPr>
        <w:t>1</w:t>
      </w:r>
      <w:r w:rsidRPr="00A066A9">
        <w:t>, Greg Mogos</w:t>
      </w:r>
      <w:r w:rsidRPr="00A066A9">
        <w:rPr>
          <w:vertAlign w:val="superscript"/>
        </w:rPr>
        <w:t>1</w:t>
      </w:r>
      <w:r w:rsidRPr="00A066A9">
        <w:t>, Melinda Frame</w:t>
      </w:r>
      <w:r w:rsidRPr="00A066A9">
        <w:rPr>
          <w:vertAlign w:val="superscript"/>
        </w:rPr>
        <w:t>2</w:t>
      </w:r>
      <w:r w:rsidRPr="00A066A9">
        <w:t>, David Hall</w:t>
      </w:r>
      <w:r w:rsidRPr="00A066A9">
        <w:rPr>
          <w:vertAlign w:val="superscript"/>
        </w:rPr>
        <w:t>1</w:t>
      </w:r>
      <w:r w:rsidRPr="00A066A9">
        <w:t>, Joseph Weissman</w:t>
      </w:r>
      <w:r w:rsidRPr="00A066A9">
        <w:rPr>
          <w:vertAlign w:val="superscript"/>
        </w:rPr>
        <w:t>4</w:t>
      </w:r>
      <w:r w:rsidRPr="00A066A9">
        <w:t>, and David M. Kramer*</w:t>
      </w:r>
      <w:r w:rsidRPr="00A066A9">
        <w:rPr>
          <w:vertAlign w:val="superscript"/>
        </w:rPr>
        <w:t>1</w:t>
      </w:r>
      <w:r w:rsidRPr="00A066A9">
        <w:t xml:space="preserve"> </w:t>
      </w:r>
    </w:p>
    <w:p w14:paraId="2030A22F" w14:textId="77777777" w:rsidR="002A1110" w:rsidRPr="00A066A9" w:rsidRDefault="002A1110" w:rsidP="002A1110">
      <w:pPr>
        <w:spacing w:line="276" w:lineRule="auto"/>
      </w:pPr>
    </w:p>
    <w:p w14:paraId="04CAB387" w14:textId="77777777" w:rsidR="002A1110" w:rsidRDefault="002A1110" w:rsidP="002A1110">
      <w:pPr>
        <w:spacing w:line="276" w:lineRule="auto"/>
      </w:pPr>
      <w:r w:rsidRPr="00D61FD7">
        <w:rPr>
          <w:vertAlign w:val="superscript"/>
        </w:rPr>
        <w:t>1</w:t>
      </w:r>
      <w:r w:rsidRPr="00E30816">
        <w:t xml:space="preserve">MSU-DOE Plant Research Laboratory, Michigan State University, East Lansing, MI </w:t>
      </w:r>
    </w:p>
    <w:p w14:paraId="6F55FC56" w14:textId="77777777" w:rsidR="002A1110" w:rsidRDefault="002A1110" w:rsidP="002A1110">
      <w:pPr>
        <w:spacing w:line="276" w:lineRule="auto"/>
      </w:pPr>
      <w:r w:rsidRPr="00D61FD7">
        <w:rPr>
          <w:vertAlign w:val="superscript"/>
        </w:rPr>
        <w:t>2</w:t>
      </w:r>
      <w:r>
        <w:t xml:space="preserve">Center for Advanced Microscopy, Michigan State University, East Lansing, MI </w:t>
      </w:r>
    </w:p>
    <w:p w14:paraId="50BE5538" w14:textId="77777777" w:rsidR="002A1110" w:rsidRPr="00E30816" w:rsidRDefault="002A1110" w:rsidP="002A1110">
      <w:pPr>
        <w:spacing w:line="276" w:lineRule="auto"/>
      </w:pPr>
      <w:r w:rsidRPr="001C7C71">
        <w:rPr>
          <w:vertAlign w:val="superscript"/>
        </w:rPr>
        <w:t>3</w:t>
      </w:r>
      <w:r>
        <w:t xml:space="preserve">Great Lakes Bioenergy Research Center, </w:t>
      </w:r>
      <w:r w:rsidRPr="00E30816">
        <w:t>Michigan State University, East Lansing, MI</w:t>
      </w:r>
    </w:p>
    <w:p w14:paraId="30D8276D" w14:textId="77777777" w:rsidR="002A1110" w:rsidRDefault="002A1110" w:rsidP="002A1110">
      <w:pPr>
        <w:spacing w:line="276" w:lineRule="auto"/>
      </w:pPr>
      <w:r>
        <w:rPr>
          <w:vertAlign w:val="superscript"/>
        </w:rPr>
        <w:t>4</w:t>
      </w:r>
      <w:r w:rsidRPr="00E30816">
        <w:t xml:space="preserve">Corporate Strategic Research, ExxonMobil, Annandale, NJ </w:t>
      </w:r>
    </w:p>
    <w:p w14:paraId="6F6D5185" w14:textId="77777777" w:rsidR="002A1110" w:rsidRPr="004133E0" w:rsidRDefault="002A1110" w:rsidP="002A1110">
      <w:pPr>
        <w:spacing w:line="276" w:lineRule="auto"/>
      </w:pPr>
      <w:r>
        <w:rPr>
          <w:vertAlign w:val="superscript"/>
        </w:rPr>
        <w:t>5</w:t>
      </w:r>
      <w:r>
        <w:t>Department of Plant Biology</w:t>
      </w:r>
      <w:r w:rsidRPr="00E30816">
        <w:t>, Michigan State University, East Lansing, MI</w:t>
      </w:r>
    </w:p>
    <w:p w14:paraId="4FDD3BC0" w14:textId="77777777" w:rsidR="002A1110" w:rsidRPr="00E30816" w:rsidRDefault="002A1110" w:rsidP="002A1110">
      <w:pPr>
        <w:spacing w:line="276" w:lineRule="auto"/>
      </w:pPr>
    </w:p>
    <w:p w14:paraId="754A05E5" w14:textId="77777777" w:rsidR="002A1110" w:rsidRPr="00E30816" w:rsidRDefault="002A1110" w:rsidP="002A1110"/>
    <w:p w14:paraId="33D11788" w14:textId="77777777" w:rsidR="002A1110" w:rsidRPr="00E30816" w:rsidRDefault="002A1110" w:rsidP="002A1110">
      <w:r w:rsidRPr="00E30816">
        <w:t xml:space="preserve">*For correspondence: </w:t>
      </w:r>
      <w:hyperlink r:id="rId6" w:tgtFrame="_blank" w:history="1">
        <w:r w:rsidRPr="00D61FD7">
          <w:rPr>
            <w:rStyle w:val="Hyperlink"/>
            <w:color w:val="3C4043"/>
          </w:rPr>
          <w:t>kramerd8@msu.edu</w:t>
        </w:r>
      </w:hyperlink>
    </w:p>
    <w:p w14:paraId="1EC38AB9" w14:textId="6F1C2B56" w:rsidR="002A1110" w:rsidRPr="00751C5F" w:rsidRDefault="002A1110" w:rsidP="002A1110">
      <w:pPr>
        <w:spacing w:line="276" w:lineRule="auto"/>
      </w:pPr>
    </w:p>
    <w:p w14:paraId="14C3CED7" w14:textId="77777777" w:rsidR="002A1110" w:rsidRDefault="002A1110" w:rsidP="002A1110">
      <w:pPr>
        <w:spacing w:line="276" w:lineRule="auto"/>
        <w:rPr>
          <w:b/>
          <w:bCs/>
        </w:rPr>
      </w:pPr>
    </w:p>
    <w:p w14:paraId="4EADA59C" w14:textId="4051EF92" w:rsidR="002A1110" w:rsidRPr="007E75FE" w:rsidRDefault="002A1110" w:rsidP="002A1110">
      <w:pPr>
        <w:spacing w:line="276" w:lineRule="auto"/>
      </w:pPr>
      <w:r w:rsidRPr="00F1026A">
        <w:rPr>
          <w:b/>
          <w:bCs/>
        </w:rPr>
        <w:t xml:space="preserve">Supplementary </w:t>
      </w:r>
      <w:r w:rsidR="004B0A71">
        <w:rPr>
          <w:b/>
          <w:bCs/>
        </w:rPr>
        <w:t>File 1A</w:t>
      </w:r>
      <w:r w:rsidRPr="007E75FE">
        <w:t xml:space="preserve">: 2NBH Growth Media </w:t>
      </w:r>
    </w:p>
    <w:p w14:paraId="76B739AB" w14:textId="77777777" w:rsidR="002A1110" w:rsidRPr="007E75FE" w:rsidRDefault="002A1110" w:rsidP="002A1110">
      <w:pPr>
        <w:spacing w:line="276" w:lineRule="auto"/>
      </w:pPr>
    </w:p>
    <w:tbl>
      <w:tblPr>
        <w:tblStyle w:val="TableGrid"/>
        <w:tblW w:w="0" w:type="auto"/>
        <w:tblLook w:val="04A0" w:firstRow="1" w:lastRow="0" w:firstColumn="1" w:lastColumn="0" w:noHBand="0" w:noVBand="1"/>
      </w:tblPr>
      <w:tblGrid>
        <w:gridCol w:w="1885"/>
        <w:gridCol w:w="2790"/>
        <w:gridCol w:w="4675"/>
      </w:tblGrid>
      <w:tr w:rsidR="002A1110" w:rsidRPr="00F61D81" w14:paraId="0B48D427" w14:textId="77777777" w:rsidTr="00956B62">
        <w:tc>
          <w:tcPr>
            <w:tcW w:w="1885" w:type="dxa"/>
          </w:tcPr>
          <w:p w14:paraId="6E2C59D1" w14:textId="77777777" w:rsidR="002A1110" w:rsidRPr="007E75FE" w:rsidRDefault="002A1110" w:rsidP="00956B62">
            <w:pPr>
              <w:spacing w:line="276" w:lineRule="auto"/>
            </w:pPr>
            <w:r w:rsidRPr="007E75FE">
              <w:t>Volume of Stock Solution (ml/l)</w:t>
            </w:r>
          </w:p>
        </w:tc>
        <w:tc>
          <w:tcPr>
            <w:tcW w:w="2790" w:type="dxa"/>
          </w:tcPr>
          <w:p w14:paraId="367E9B24" w14:textId="77777777" w:rsidR="002A1110" w:rsidRPr="006153E8" w:rsidRDefault="002A1110" w:rsidP="00956B62">
            <w:pPr>
              <w:spacing w:line="276" w:lineRule="auto"/>
            </w:pPr>
            <w:r w:rsidRPr="007E75FE">
              <w:t xml:space="preserve">Stock Solution </w:t>
            </w:r>
          </w:p>
        </w:tc>
        <w:tc>
          <w:tcPr>
            <w:tcW w:w="4675" w:type="dxa"/>
          </w:tcPr>
          <w:p w14:paraId="3212836E" w14:textId="77777777" w:rsidR="002A1110" w:rsidRPr="004525F6" w:rsidRDefault="002A1110" w:rsidP="00956B62">
            <w:pPr>
              <w:spacing w:line="276" w:lineRule="auto"/>
            </w:pPr>
            <w:r w:rsidRPr="00562C05">
              <w:t>Stock Solution Content (grams)</w:t>
            </w:r>
          </w:p>
        </w:tc>
      </w:tr>
      <w:tr w:rsidR="002A1110" w:rsidRPr="00F61D81" w14:paraId="618F54BC" w14:textId="77777777" w:rsidTr="00956B62">
        <w:tc>
          <w:tcPr>
            <w:tcW w:w="1885" w:type="dxa"/>
          </w:tcPr>
          <w:p w14:paraId="03FF90B2" w14:textId="77777777" w:rsidR="002A1110" w:rsidRPr="00F61D81" w:rsidRDefault="002A1110" w:rsidP="00956B62">
            <w:pPr>
              <w:spacing w:line="276" w:lineRule="auto"/>
            </w:pPr>
            <w:r w:rsidRPr="00F61D81">
              <w:t>2</w:t>
            </w:r>
          </w:p>
        </w:tc>
        <w:tc>
          <w:tcPr>
            <w:tcW w:w="2790" w:type="dxa"/>
          </w:tcPr>
          <w:p w14:paraId="7E5EBCCD" w14:textId="77777777" w:rsidR="002A1110" w:rsidRPr="00F61D81" w:rsidRDefault="002A1110" w:rsidP="00956B62">
            <w:pPr>
              <w:spacing w:line="276" w:lineRule="auto"/>
            </w:pPr>
            <w:r w:rsidRPr="00F61D81">
              <w:t>NaNO3</w:t>
            </w:r>
          </w:p>
        </w:tc>
        <w:tc>
          <w:tcPr>
            <w:tcW w:w="4675" w:type="dxa"/>
          </w:tcPr>
          <w:p w14:paraId="137DF0E6" w14:textId="77777777" w:rsidR="002A1110" w:rsidRPr="00F61D81" w:rsidRDefault="002A1110" w:rsidP="00956B62">
            <w:pPr>
              <w:spacing w:line="276" w:lineRule="auto"/>
            </w:pPr>
            <w:r w:rsidRPr="00F61D81">
              <w:t>100 g/400 ml</w:t>
            </w:r>
          </w:p>
        </w:tc>
      </w:tr>
      <w:tr w:rsidR="002A1110" w:rsidRPr="00F61D81" w14:paraId="6C372D3B" w14:textId="77777777" w:rsidTr="00956B62">
        <w:tc>
          <w:tcPr>
            <w:tcW w:w="1885" w:type="dxa"/>
          </w:tcPr>
          <w:p w14:paraId="52B29E71" w14:textId="77777777" w:rsidR="002A1110" w:rsidRPr="00F61D81" w:rsidRDefault="002A1110" w:rsidP="00956B62">
            <w:pPr>
              <w:spacing w:line="276" w:lineRule="auto"/>
            </w:pPr>
            <w:r w:rsidRPr="00F61D81">
              <w:t>1</w:t>
            </w:r>
          </w:p>
        </w:tc>
        <w:tc>
          <w:tcPr>
            <w:tcW w:w="2790" w:type="dxa"/>
          </w:tcPr>
          <w:p w14:paraId="29752F57" w14:textId="77777777" w:rsidR="002A1110" w:rsidRPr="00F61D81" w:rsidRDefault="002A1110" w:rsidP="00956B62">
            <w:pPr>
              <w:spacing w:line="276" w:lineRule="auto"/>
            </w:pPr>
            <w:r w:rsidRPr="00F61D81">
              <w:t>CaCl</w:t>
            </w:r>
            <w:r w:rsidRPr="00F61D81">
              <w:rPr>
                <w:vertAlign w:val="subscript"/>
              </w:rPr>
              <w:t>2</w:t>
            </w:r>
          </w:p>
        </w:tc>
        <w:tc>
          <w:tcPr>
            <w:tcW w:w="4675" w:type="dxa"/>
          </w:tcPr>
          <w:p w14:paraId="0FA5F1BA" w14:textId="77777777" w:rsidR="002A1110" w:rsidRPr="00F61D81" w:rsidRDefault="002A1110" w:rsidP="00956B62">
            <w:pPr>
              <w:spacing w:line="276" w:lineRule="auto"/>
            </w:pPr>
            <w:r w:rsidRPr="00F61D81">
              <w:t>10 g/ 400 ml</w:t>
            </w:r>
          </w:p>
        </w:tc>
      </w:tr>
      <w:tr w:rsidR="002A1110" w:rsidRPr="00F61D81" w14:paraId="39DB315F" w14:textId="77777777" w:rsidTr="00956B62">
        <w:tc>
          <w:tcPr>
            <w:tcW w:w="1885" w:type="dxa"/>
          </w:tcPr>
          <w:p w14:paraId="1BCF2746" w14:textId="77777777" w:rsidR="002A1110" w:rsidRPr="00F61D81" w:rsidRDefault="002A1110" w:rsidP="00956B62">
            <w:pPr>
              <w:spacing w:line="276" w:lineRule="auto"/>
            </w:pPr>
            <w:r w:rsidRPr="00F61D81">
              <w:t>1</w:t>
            </w:r>
          </w:p>
        </w:tc>
        <w:tc>
          <w:tcPr>
            <w:tcW w:w="2790" w:type="dxa"/>
          </w:tcPr>
          <w:p w14:paraId="75225F33" w14:textId="77777777" w:rsidR="002A1110" w:rsidRPr="00F61D81" w:rsidRDefault="002A1110" w:rsidP="00956B62">
            <w:pPr>
              <w:spacing w:line="276" w:lineRule="auto"/>
            </w:pPr>
            <w:r w:rsidRPr="00F61D81">
              <w:t>MgSO</w:t>
            </w:r>
            <w:r w:rsidRPr="00F61D81">
              <w:rPr>
                <w:vertAlign w:val="subscript"/>
              </w:rPr>
              <w:t>4</w:t>
            </w:r>
            <w:r w:rsidRPr="00F61D81">
              <w:t xml:space="preserve"> 7H</w:t>
            </w:r>
            <w:r w:rsidRPr="00F61D81">
              <w:rPr>
                <w:vertAlign w:val="subscript"/>
              </w:rPr>
              <w:t>2</w:t>
            </w:r>
            <w:r w:rsidRPr="00F61D81">
              <w:t>O</w:t>
            </w:r>
          </w:p>
        </w:tc>
        <w:tc>
          <w:tcPr>
            <w:tcW w:w="4675" w:type="dxa"/>
          </w:tcPr>
          <w:p w14:paraId="42AB1F43" w14:textId="77777777" w:rsidR="002A1110" w:rsidRPr="00F61D81" w:rsidRDefault="002A1110" w:rsidP="00956B62">
            <w:pPr>
              <w:spacing w:line="276" w:lineRule="auto"/>
            </w:pPr>
            <w:r w:rsidRPr="00F61D81">
              <w:t>30 g / 400 ml</w:t>
            </w:r>
          </w:p>
        </w:tc>
      </w:tr>
      <w:tr w:rsidR="002A1110" w:rsidRPr="00F61D81" w14:paraId="5B35376F" w14:textId="77777777" w:rsidTr="00956B62">
        <w:tc>
          <w:tcPr>
            <w:tcW w:w="1885" w:type="dxa"/>
          </w:tcPr>
          <w:p w14:paraId="2901CFCC" w14:textId="77777777" w:rsidR="002A1110" w:rsidRPr="00F61D81" w:rsidRDefault="002A1110" w:rsidP="00956B62">
            <w:pPr>
              <w:spacing w:line="276" w:lineRule="auto"/>
            </w:pPr>
            <w:r w:rsidRPr="00F61D81">
              <w:t>1</w:t>
            </w:r>
          </w:p>
        </w:tc>
        <w:tc>
          <w:tcPr>
            <w:tcW w:w="2790" w:type="dxa"/>
          </w:tcPr>
          <w:p w14:paraId="458D871F" w14:textId="77777777" w:rsidR="002A1110" w:rsidRPr="00F61D81" w:rsidRDefault="002A1110" w:rsidP="00956B62">
            <w:pPr>
              <w:spacing w:line="276" w:lineRule="auto"/>
            </w:pPr>
            <w:r w:rsidRPr="00F61D81">
              <w:t xml:space="preserve">TAP Phosphate Solution </w:t>
            </w:r>
          </w:p>
        </w:tc>
        <w:tc>
          <w:tcPr>
            <w:tcW w:w="4675" w:type="dxa"/>
          </w:tcPr>
          <w:p w14:paraId="61858B13" w14:textId="77777777" w:rsidR="002A1110" w:rsidRPr="00114BF5" w:rsidRDefault="002A1110" w:rsidP="00956B62">
            <w:pPr>
              <w:spacing w:line="276" w:lineRule="auto"/>
            </w:pPr>
            <w:r w:rsidRPr="00F61D81">
              <w:t>28.8 g K</w:t>
            </w:r>
            <w:r w:rsidRPr="00F61D81">
              <w:rPr>
                <w:vertAlign w:val="subscript"/>
              </w:rPr>
              <w:t>2</w:t>
            </w:r>
            <w:r w:rsidRPr="00F61D81">
              <w:t>HPO</w:t>
            </w:r>
            <w:r w:rsidRPr="00F61D81">
              <w:rPr>
                <w:vertAlign w:val="subscript"/>
              </w:rPr>
              <w:t>4</w:t>
            </w:r>
            <w:r w:rsidRPr="00F61D81">
              <w:t xml:space="preserve"> + 14</w:t>
            </w:r>
            <w:r>
              <w:t>.4g</w:t>
            </w:r>
            <w:r w:rsidRPr="00F61D81">
              <w:t xml:space="preserve"> KH</w:t>
            </w:r>
            <w:r w:rsidRPr="00F61D81">
              <w:rPr>
                <w:vertAlign w:val="subscript"/>
              </w:rPr>
              <w:t>2</w:t>
            </w:r>
            <w:r w:rsidRPr="00F61D81">
              <w:t>PO</w:t>
            </w:r>
            <w:r w:rsidRPr="00F61D81">
              <w:rPr>
                <w:vertAlign w:val="subscript"/>
              </w:rPr>
              <w:t>4</w:t>
            </w:r>
            <w:r>
              <w:rPr>
                <w:vertAlign w:val="subscript"/>
              </w:rPr>
              <w:t xml:space="preserve"> </w:t>
            </w:r>
            <w:r>
              <w:t>/100ml</w:t>
            </w:r>
          </w:p>
        </w:tc>
      </w:tr>
      <w:tr w:rsidR="002A1110" w:rsidRPr="00F61D81" w14:paraId="5C454CDB" w14:textId="77777777" w:rsidTr="00956B62">
        <w:tc>
          <w:tcPr>
            <w:tcW w:w="1885" w:type="dxa"/>
          </w:tcPr>
          <w:p w14:paraId="239C8DDE" w14:textId="77777777" w:rsidR="002A1110" w:rsidRPr="00F61D81" w:rsidRDefault="002A1110" w:rsidP="00956B62">
            <w:pPr>
              <w:spacing w:line="276" w:lineRule="auto"/>
            </w:pPr>
            <w:r w:rsidRPr="00F61D81">
              <w:t>1</w:t>
            </w:r>
          </w:p>
        </w:tc>
        <w:tc>
          <w:tcPr>
            <w:tcW w:w="2790" w:type="dxa"/>
          </w:tcPr>
          <w:p w14:paraId="47FB50BE" w14:textId="77777777" w:rsidR="002A1110" w:rsidRPr="00F61D81" w:rsidRDefault="002A1110" w:rsidP="00956B62">
            <w:pPr>
              <w:spacing w:line="276" w:lineRule="auto"/>
            </w:pPr>
            <w:r w:rsidRPr="00F61D81">
              <w:t>NaCl</w:t>
            </w:r>
          </w:p>
        </w:tc>
        <w:tc>
          <w:tcPr>
            <w:tcW w:w="4675" w:type="dxa"/>
          </w:tcPr>
          <w:p w14:paraId="0F5573BA" w14:textId="77777777" w:rsidR="002A1110" w:rsidRPr="00F61D81" w:rsidRDefault="002A1110" w:rsidP="00956B62">
            <w:pPr>
              <w:spacing w:line="276" w:lineRule="auto"/>
            </w:pPr>
            <w:r w:rsidRPr="00F61D81">
              <w:t>10 g/ 400 ml</w:t>
            </w:r>
          </w:p>
        </w:tc>
      </w:tr>
      <w:tr w:rsidR="002A1110" w:rsidRPr="00F61D81" w14:paraId="3519958D" w14:textId="77777777" w:rsidTr="00956B62">
        <w:tc>
          <w:tcPr>
            <w:tcW w:w="1885" w:type="dxa"/>
          </w:tcPr>
          <w:p w14:paraId="69A266CA" w14:textId="77777777" w:rsidR="002A1110" w:rsidRPr="00F61D81" w:rsidRDefault="002A1110" w:rsidP="00956B62">
            <w:pPr>
              <w:spacing w:line="276" w:lineRule="auto"/>
            </w:pPr>
            <w:r w:rsidRPr="00F61D81">
              <w:t>1</w:t>
            </w:r>
          </w:p>
        </w:tc>
        <w:tc>
          <w:tcPr>
            <w:tcW w:w="2790" w:type="dxa"/>
          </w:tcPr>
          <w:p w14:paraId="164E4F8B" w14:textId="77777777" w:rsidR="002A1110" w:rsidRPr="00F61D81" w:rsidRDefault="002A1110" w:rsidP="00956B62">
            <w:pPr>
              <w:spacing w:line="276" w:lineRule="auto"/>
            </w:pPr>
            <w:proofErr w:type="spellStart"/>
            <w:r w:rsidRPr="00F61D81">
              <w:t>Hutner</w:t>
            </w:r>
            <w:proofErr w:type="spellEnd"/>
            <w:r w:rsidRPr="00F61D81">
              <w:t xml:space="preserve"> Solution </w:t>
            </w:r>
          </w:p>
        </w:tc>
        <w:tc>
          <w:tcPr>
            <w:tcW w:w="4675" w:type="dxa"/>
          </w:tcPr>
          <w:p w14:paraId="554E3A26" w14:textId="77777777" w:rsidR="002A1110" w:rsidRPr="00F61D81" w:rsidRDefault="002A1110" w:rsidP="00956B62">
            <w:pPr>
              <w:spacing w:line="276" w:lineRule="auto"/>
            </w:pPr>
          </w:p>
        </w:tc>
      </w:tr>
    </w:tbl>
    <w:p w14:paraId="29FFDE32" w14:textId="77777777" w:rsidR="002A1110" w:rsidRDefault="002A1110" w:rsidP="002A1110">
      <w:pPr>
        <w:rPr>
          <w:b/>
          <w:bCs/>
        </w:rPr>
      </w:pPr>
    </w:p>
    <w:p w14:paraId="184AAB9D" w14:textId="77777777" w:rsidR="00063951" w:rsidRDefault="00063951" w:rsidP="002A1110">
      <w:pPr>
        <w:rPr>
          <w:b/>
          <w:bCs/>
        </w:rPr>
      </w:pPr>
    </w:p>
    <w:p w14:paraId="5815E32F" w14:textId="1DCFD6CD" w:rsidR="00063951" w:rsidRPr="00247C9D" w:rsidRDefault="00063951" w:rsidP="00063951">
      <w:pPr>
        <w:keepNext/>
        <w:spacing w:line="276" w:lineRule="auto"/>
        <w:rPr>
          <w:color w:val="000000" w:themeColor="text1"/>
        </w:rPr>
      </w:pPr>
      <w:r w:rsidRPr="00F1026A">
        <w:rPr>
          <w:b/>
          <w:bCs/>
        </w:rPr>
        <w:t xml:space="preserve">Supplementary </w:t>
      </w:r>
      <w:r>
        <w:rPr>
          <w:b/>
          <w:bCs/>
        </w:rPr>
        <w:t>File 1B</w:t>
      </w:r>
      <w:r w:rsidRPr="00B93654">
        <w:t xml:space="preserve">: </w:t>
      </w:r>
      <w:r>
        <w:t xml:space="preserve">Rubisco activity </w:t>
      </w:r>
      <w:r>
        <w:rPr>
          <w:color w:val="000000" w:themeColor="text1"/>
        </w:rPr>
        <w:t>rates (in picomole C fixed by rubisco s</w:t>
      </w:r>
      <w:r w:rsidRPr="00063951">
        <w:rPr>
          <w:color w:val="000000" w:themeColor="text1"/>
          <w:vertAlign w:val="superscript"/>
        </w:rPr>
        <w:t>-1</w:t>
      </w:r>
      <w:r>
        <w:rPr>
          <w:color w:val="000000" w:themeColor="text1"/>
        </w:rPr>
        <w:t xml:space="preserve"> per ug of </w:t>
      </w:r>
      <w:proofErr w:type="spellStart"/>
      <w:r>
        <w:rPr>
          <w:color w:val="000000" w:themeColor="text1"/>
        </w:rPr>
        <w:t>Chl</w:t>
      </w:r>
      <w:proofErr w:type="spellEnd"/>
      <w:r>
        <w:rPr>
          <w:color w:val="000000" w:themeColor="text1"/>
        </w:rPr>
        <w:t xml:space="preserve">), showing </w:t>
      </w:r>
      <w:r w:rsidRPr="00247C9D">
        <w:rPr>
          <w:color w:val="000000" w:themeColor="text1"/>
        </w:rPr>
        <w:t>effects of hyperoxia on activity of rubisco in CC-1009 and CC-2343. Raw extracts of the cells prior to (zero hours) and after exposure to hyperoxia (31 hours, see Materials and Methods) were assayed rapidly (hatched bars), reflecting the native activation state, or after pre-incubation for 10 minutes in the presence of MgCl</w:t>
      </w:r>
      <w:r w:rsidRPr="00247C9D">
        <w:rPr>
          <w:color w:val="000000" w:themeColor="text1"/>
          <w:vertAlign w:val="subscript"/>
        </w:rPr>
        <w:t>2</w:t>
      </w:r>
      <w:r w:rsidRPr="00247C9D">
        <w:rPr>
          <w:color w:val="000000" w:themeColor="text1"/>
        </w:rPr>
        <w:t>, H</w:t>
      </w:r>
      <w:r w:rsidRPr="00247C9D">
        <w:rPr>
          <w:color w:val="000000" w:themeColor="text1"/>
          <w:vertAlign w:val="superscript"/>
        </w:rPr>
        <w:t>12</w:t>
      </w:r>
      <w:r w:rsidRPr="00247C9D">
        <w:rPr>
          <w:color w:val="000000" w:themeColor="text1"/>
        </w:rPr>
        <w:t>CO</w:t>
      </w:r>
      <w:r w:rsidRPr="00247C9D">
        <w:rPr>
          <w:color w:val="000000" w:themeColor="text1"/>
          <w:vertAlign w:val="subscript"/>
        </w:rPr>
        <w:t>3</w:t>
      </w:r>
      <w:r w:rsidRPr="00247C9D">
        <w:rPr>
          <w:color w:val="000000" w:themeColor="text1"/>
          <w:vertAlign w:val="superscript"/>
        </w:rPr>
        <w:t>-</w:t>
      </w:r>
      <w:r w:rsidRPr="00247C9D">
        <w:rPr>
          <w:color w:val="000000" w:themeColor="text1"/>
        </w:rPr>
        <w:t xml:space="preserve">, and 6-phosphogluconate, which promotes reactivation of inhibited enzyme (solid bars) </w:t>
      </w:r>
      <w:r>
        <w:rPr>
          <w:color w:val="000000" w:themeColor="text1"/>
        </w:rPr>
        <w:t>(See Figure 1 for graph).</w:t>
      </w:r>
      <w:r w:rsidRPr="00247C9D">
        <w:rPr>
          <w:color w:val="000000" w:themeColor="text1"/>
        </w:rPr>
        <w:t xml:space="preserve"> </w:t>
      </w:r>
      <w:r>
        <w:rPr>
          <w:color w:val="000000" w:themeColor="text1"/>
        </w:rPr>
        <w:t>STD is the s</w:t>
      </w:r>
      <w:r w:rsidRPr="00247C9D">
        <w:rPr>
          <w:color w:val="000000" w:themeColor="text1"/>
        </w:rPr>
        <w:t>tandard deviation of the three biological replicates, each with three technical replicates.</w:t>
      </w:r>
    </w:p>
    <w:p w14:paraId="28863FEE" w14:textId="67CBE9AD" w:rsidR="00063951" w:rsidRDefault="00063951" w:rsidP="00063951"/>
    <w:p w14:paraId="14D06E9D" w14:textId="57A7AAD8" w:rsidR="00063951" w:rsidRDefault="00063951" w:rsidP="00063951">
      <w:r w:rsidRPr="00063951">
        <w:rPr>
          <w:noProof/>
        </w:rPr>
        <w:lastRenderedPageBreak/>
        <w:drawing>
          <wp:inline distT="0" distB="0" distL="0" distR="0" wp14:anchorId="5652004D" wp14:editId="251BF1E0">
            <wp:extent cx="5208422" cy="124364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16" t="76946" r="49339" b="2490"/>
                    <a:stretch/>
                  </pic:blipFill>
                  <pic:spPr bwMode="auto">
                    <a:xfrm>
                      <a:off x="0" y="0"/>
                      <a:ext cx="5278040" cy="1260271"/>
                    </a:xfrm>
                    <a:prstGeom prst="rect">
                      <a:avLst/>
                    </a:prstGeom>
                    <a:ln>
                      <a:noFill/>
                    </a:ln>
                    <a:extLst>
                      <a:ext uri="{53640926-AAD7-44D8-BBD7-CCE9431645EC}">
                        <a14:shadowObscured xmlns:a14="http://schemas.microsoft.com/office/drawing/2010/main"/>
                      </a:ext>
                    </a:extLst>
                  </pic:spPr>
                </pic:pic>
              </a:graphicData>
            </a:graphic>
          </wp:inline>
        </w:drawing>
      </w:r>
    </w:p>
    <w:p w14:paraId="21A1F2CC" w14:textId="53257D47" w:rsidR="00063951" w:rsidRDefault="00063951" w:rsidP="002A1110">
      <w:pPr>
        <w:rPr>
          <w:b/>
          <w:bCs/>
        </w:rPr>
      </w:pPr>
    </w:p>
    <w:p w14:paraId="6043EA74" w14:textId="77777777" w:rsidR="00063951" w:rsidRDefault="00063951" w:rsidP="002A1110">
      <w:pPr>
        <w:rPr>
          <w:b/>
          <w:bCs/>
        </w:rPr>
      </w:pPr>
    </w:p>
    <w:p w14:paraId="6CD054D1" w14:textId="77777777" w:rsidR="00063951" w:rsidRDefault="00063951" w:rsidP="002A1110">
      <w:pPr>
        <w:rPr>
          <w:b/>
          <w:bCs/>
        </w:rPr>
      </w:pPr>
    </w:p>
    <w:p w14:paraId="318B2295" w14:textId="747269D3" w:rsidR="002A1110" w:rsidRDefault="002A1110" w:rsidP="002A1110">
      <w:r w:rsidRPr="00F1026A">
        <w:rPr>
          <w:b/>
          <w:bCs/>
        </w:rPr>
        <w:t xml:space="preserve">Supplementary </w:t>
      </w:r>
      <w:r w:rsidR="004B0A71">
        <w:rPr>
          <w:b/>
          <w:bCs/>
        </w:rPr>
        <w:t>File 1</w:t>
      </w:r>
      <w:r w:rsidR="00063951">
        <w:rPr>
          <w:b/>
          <w:bCs/>
        </w:rPr>
        <w:t>C</w:t>
      </w:r>
      <w:r w:rsidRPr="00B93654">
        <w:t>: Rates of oxygen evolution in CC-2343 and CC-1009 (</w:t>
      </w:r>
      <w:r w:rsidRPr="00B93654">
        <w:rPr>
          <w:lang w:val="el-GR"/>
        </w:rPr>
        <w:t>μ</w:t>
      </w:r>
      <w:r w:rsidRPr="00B93654">
        <w:t>M O</w:t>
      </w:r>
      <w:r w:rsidRPr="00B93654">
        <w:rPr>
          <w:vertAlign w:val="subscript"/>
        </w:rPr>
        <w:t>2</w:t>
      </w:r>
      <w:r w:rsidRPr="00B93654">
        <w:t xml:space="preserve"> min</w:t>
      </w:r>
      <w:r w:rsidRPr="00B93654">
        <w:rPr>
          <w:vertAlign w:val="superscript"/>
        </w:rPr>
        <w:t>-1</w:t>
      </w:r>
      <w:r w:rsidRPr="00B93654">
        <w:t xml:space="preserve">) and maximum oxygen compensation point in control and cells pre-treated for 6 hours with hydrogen peroxide (see Figure 14 for graphs).  </w:t>
      </w:r>
    </w:p>
    <w:p w14:paraId="41BA783C" w14:textId="77777777" w:rsidR="002A1110" w:rsidRDefault="002A1110" w:rsidP="002A1110"/>
    <w:p w14:paraId="29A361ED" w14:textId="77777777" w:rsidR="002A1110" w:rsidRDefault="002A1110" w:rsidP="002A1110">
      <w:pPr>
        <w:spacing w:line="276" w:lineRule="auto"/>
      </w:pPr>
    </w:p>
    <w:p w14:paraId="7BF0898D" w14:textId="77777777" w:rsidR="002A1110" w:rsidRDefault="002A1110" w:rsidP="002A1110">
      <w:pPr>
        <w:spacing w:line="276" w:lineRule="auto"/>
      </w:pPr>
      <w:r w:rsidRPr="005E0E0D">
        <w:rPr>
          <w:noProof/>
        </w:rPr>
        <w:drawing>
          <wp:inline distT="0" distB="0" distL="0" distR="0" wp14:anchorId="21616CD4" wp14:editId="3198D2FD">
            <wp:extent cx="5638800" cy="2438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8800" cy="2438400"/>
                    </a:xfrm>
                    <a:prstGeom prst="rect">
                      <a:avLst/>
                    </a:prstGeom>
                  </pic:spPr>
                </pic:pic>
              </a:graphicData>
            </a:graphic>
          </wp:inline>
        </w:drawing>
      </w:r>
    </w:p>
    <w:p w14:paraId="55D9D8DD" w14:textId="77777777" w:rsidR="002A1110" w:rsidRDefault="002A1110" w:rsidP="002A1110">
      <w:pPr>
        <w:spacing w:line="276" w:lineRule="auto"/>
      </w:pPr>
    </w:p>
    <w:p w14:paraId="3903123B" w14:textId="77777777" w:rsidR="00A761EE" w:rsidRDefault="00A761EE"/>
    <w:sectPr w:rsidR="00A761EE" w:rsidSect="00D2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387944"/>
    <w:multiLevelType w:val="hybridMultilevel"/>
    <w:tmpl w:val="EE643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10"/>
    <w:rsid w:val="00063951"/>
    <w:rsid w:val="000646A5"/>
    <w:rsid w:val="00081CDD"/>
    <w:rsid w:val="000A2675"/>
    <w:rsid w:val="000D2CE0"/>
    <w:rsid w:val="00161B27"/>
    <w:rsid w:val="00165194"/>
    <w:rsid w:val="001849FE"/>
    <w:rsid w:val="001D68E3"/>
    <w:rsid w:val="001E0F81"/>
    <w:rsid w:val="00262983"/>
    <w:rsid w:val="00283857"/>
    <w:rsid w:val="002A1110"/>
    <w:rsid w:val="002A6803"/>
    <w:rsid w:val="002C1B2A"/>
    <w:rsid w:val="002E29D2"/>
    <w:rsid w:val="00304F35"/>
    <w:rsid w:val="0032157B"/>
    <w:rsid w:val="00374BCA"/>
    <w:rsid w:val="00376F42"/>
    <w:rsid w:val="00377D72"/>
    <w:rsid w:val="003904D4"/>
    <w:rsid w:val="003A42ED"/>
    <w:rsid w:val="003A5CBD"/>
    <w:rsid w:val="003B4831"/>
    <w:rsid w:val="003D2806"/>
    <w:rsid w:val="004021F9"/>
    <w:rsid w:val="00442D2C"/>
    <w:rsid w:val="004460C9"/>
    <w:rsid w:val="00491798"/>
    <w:rsid w:val="004B0A71"/>
    <w:rsid w:val="004B4603"/>
    <w:rsid w:val="004C4400"/>
    <w:rsid w:val="00515F24"/>
    <w:rsid w:val="00561D91"/>
    <w:rsid w:val="005A08C3"/>
    <w:rsid w:val="00605600"/>
    <w:rsid w:val="0064121F"/>
    <w:rsid w:val="006C55AE"/>
    <w:rsid w:val="006C6F3A"/>
    <w:rsid w:val="006E242F"/>
    <w:rsid w:val="0072227A"/>
    <w:rsid w:val="00735283"/>
    <w:rsid w:val="007474A8"/>
    <w:rsid w:val="00747B5B"/>
    <w:rsid w:val="0075775A"/>
    <w:rsid w:val="007658A1"/>
    <w:rsid w:val="007D3627"/>
    <w:rsid w:val="00825EF9"/>
    <w:rsid w:val="00884799"/>
    <w:rsid w:val="008B15A0"/>
    <w:rsid w:val="008B352D"/>
    <w:rsid w:val="008D5CF5"/>
    <w:rsid w:val="008D67EF"/>
    <w:rsid w:val="009024A0"/>
    <w:rsid w:val="0096410B"/>
    <w:rsid w:val="009701F8"/>
    <w:rsid w:val="00981215"/>
    <w:rsid w:val="009D7A01"/>
    <w:rsid w:val="00A0210E"/>
    <w:rsid w:val="00A066A9"/>
    <w:rsid w:val="00A06F5E"/>
    <w:rsid w:val="00A502F6"/>
    <w:rsid w:val="00A63DF8"/>
    <w:rsid w:val="00A761EE"/>
    <w:rsid w:val="00AA749D"/>
    <w:rsid w:val="00AF6603"/>
    <w:rsid w:val="00B0094B"/>
    <w:rsid w:val="00B2690C"/>
    <w:rsid w:val="00B7481E"/>
    <w:rsid w:val="00B86E66"/>
    <w:rsid w:val="00B9421A"/>
    <w:rsid w:val="00BD3EE6"/>
    <w:rsid w:val="00BE6D33"/>
    <w:rsid w:val="00BF03DE"/>
    <w:rsid w:val="00C04B17"/>
    <w:rsid w:val="00C2364E"/>
    <w:rsid w:val="00C27A2B"/>
    <w:rsid w:val="00C57F98"/>
    <w:rsid w:val="00C83B36"/>
    <w:rsid w:val="00CC3734"/>
    <w:rsid w:val="00CF111B"/>
    <w:rsid w:val="00D167B1"/>
    <w:rsid w:val="00D25DAA"/>
    <w:rsid w:val="00D26859"/>
    <w:rsid w:val="00D606B0"/>
    <w:rsid w:val="00D711DF"/>
    <w:rsid w:val="00D95A8B"/>
    <w:rsid w:val="00DA0858"/>
    <w:rsid w:val="00DA2741"/>
    <w:rsid w:val="00DC6050"/>
    <w:rsid w:val="00DE1805"/>
    <w:rsid w:val="00DF6B56"/>
    <w:rsid w:val="00E00CEE"/>
    <w:rsid w:val="00E015CB"/>
    <w:rsid w:val="00E272D4"/>
    <w:rsid w:val="00E34401"/>
    <w:rsid w:val="00E677B8"/>
    <w:rsid w:val="00E86A5C"/>
    <w:rsid w:val="00E970C4"/>
    <w:rsid w:val="00E97F0D"/>
    <w:rsid w:val="00EC25D6"/>
    <w:rsid w:val="00F0106C"/>
    <w:rsid w:val="00F16D88"/>
    <w:rsid w:val="00F20627"/>
    <w:rsid w:val="00F260C2"/>
    <w:rsid w:val="00F47B7A"/>
    <w:rsid w:val="00F922E1"/>
    <w:rsid w:val="00F940BF"/>
    <w:rsid w:val="00FC4E4A"/>
    <w:rsid w:val="00F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11637"/>
  <w15:chartTrackingRefBased/>
  <w15:docId w15:val="{7CDB0208-FF2E-E84D-9F7A-24137C7F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11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2A1110"/>
    <w:rPr>
      <w:color w:val="0000FF"/>
      <w:u w:val="single"/>
    </w:rPr>
  </w:style>
  <w:style w:type="paragraph" w:styleId="BalloonText">
    <w:name w:val="Balloon Text"/>
    <w:basedOn w:val="Normal"/>
    <w:link w:val="BalloonTextChar"/>
    <w:uiPriority w:val="99"/>
    <w:semiHidden/>
    <w:unhideWhenUsed/>
    <w:rsid w:val="00FD7D06"/>
    <w:rPr>
      <w:sz w:val="18"/>
      <w:szCs w:val="18"/>
    </w:rPr>
  </w:style>
  <w:style w:type="character" w:customStyle="1" w:styleId="BalloonTextChar">
    <w:name w:val="Balloon Text Char"/>
    <w:basedOn w:val="DefaultParagraphFont"/>
    <w:link w:val="BalloonText"/>
    <w:uiPriority w:val="99"/>
    <w:semiHidden/>
    <w:rsid w:val="00FD7D06"/>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0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amerd8@ms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0B8B-396D-8140-A791-5F971C4A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Neofotis, Peter</dc:creator>
  <cp:keywords/>
  <dc:description/>
  <cp:lastModifiedBy>Neofotis, Peter</cp:lastModifiedBy>
  <cp:revision>2</cp:revision>
  <cp:lastPrinted>2021-09-08T18:22:00Z</cp:lastPrinted>
  <dcterms:created xsi:type="dcterms:W3CDTF">2021-11-24T22:24:00Z</dcterms:created>
  <dcterms:modified xsi:type="dcterms:W3CDTF">2021-11-24T22:24:00Z</dcterms:modified>
</cp:coreProperties>
</file>