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6A9C" w14:textId="2278AE95" w:rsidR="007610A8" w:rsidRPr="008727AD" w:rsidRDefault="007610A8" w:rsidP="007610A8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27AD">
        <w:rPr>
          <w:rFonts w:ascii="Times New Roman" w:hAnsi="Times New Roman" w:cs="Times New Roman"/>
          <w:sz w:val="24"/>
          <w:szCs w:val="24"/>
          <w:u w:val="single"/>
        </w:rPr>
        <w:t xml:space="preserve">Supplementary File </w:t>
      </w:r>
      <w:r w:rsidR="0035200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727AD">
        <w:rPr>
          <w:rFonts w:ascii="Times New Roman" w:hAnsi="Times New Roman" w:cs="Times New Roman"/>
          <w:sz w:val="24"/>
          <w:szCs w:val="24"/>
          <w:u w:val="single"/>
        </w:rPr>
        <w:t xml:space="preserve"> – Morphometric data for neonate mice among lines and generations. Tibia and centroid size data represent least squared means (SEM</w:t>
      </w:r>
      <w:proofErr w:type="gramStart"/>
      <w:r w:rsidRPr="008727AD">
        <w:rPr>
          <w:rFonts w:ascii="Times New Roman" w:hAnsi="Times New Roman" w:cs="Times New Roman"/>
          <w:sz w:val="24"/>
          <w:szCs w:val="24"/>
          <w:u w:val="single"/>
        </w:rPr>
        <w:t>)</w:t>
      </w:r>
      <w:proofErr w:type="gramEnd"/>
      <w:r w:rsidRPr="008727AD">
        <w:rPr>
          <w:rFonts w:ascii="Times New Roman" w:hAnsi="Times New Roman" w:cs="Times New Roman"/>
          <w:sz w:val="24"/>
          <w:szCs w:val="24"/>
          <w:u w:val="single"/>
        </w:rPr>
        <w:t xml:space="preserve"> and litter sizes are means (SEM). Differences in litter size were determined by ANOVA, whereas tibia length and centroid size differences were assessed by ANCOVA with litter size as a covariate. Superscripts denote significant differences in means (p &lt; 0.05) between a given group and: Controls </w:t>
      </w:r>
      <w:r w:rsidRPr="008727A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CTL</w:t>
      </w:r>
      <w:r w:rsidRPr="008727AD">
        <w:rPr>
          <w:rFonts w:ascii="Times New Roman" w:hAnsi="Times New Roman" w:cs="Times New Roman"/>
          <w:sz w:val="24"/>
          <w:szCs w:val="24"/>
          <w:u w:val="single"/>
        </w:rPr>
        <w:t xml:space="preserve">, Longshanks Line 1 </w:t>
      </w:r>
      <w:r w:rsidRPr="008727A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LS1</w:t>
      </w:r>
      <w:r w:rsidRPr="008727AD">
        <w:rPr>
          <w:rFonts w:ascii="Times New Roman" w:hAnsi="Times New Roman" w:cs="Times New Roman"/>
          <w:sz w:val="24"/>
          <w:szCs w:val="24"/>
          <w:u w:val="single"/>
        </w:rPr>
        <w:t xml:space="preserve">, Longshanks Line 2 </w:t>
      </w:r>
      <w:r w:rsidRPr="008727A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LS2</w:t>
      </w:r>
      <w:r w:rsidRPr="008727A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610A8" w:rsidRPr="00E1434C" w14:paraId="7F47385D" w14:textId="77777777" w:rsidTr="008727AD">
        <w:tc>
          <w:tcPr>
            <w:tcW w:w="9350" w:type="dxa"/>
            <w:gridSpan w:val="4"/>
            <w:shd w:val="clear" w:color="auto" w:fill="BFBFBF" w:themeFill="background1" w:themeFillShade="BF"/>
          </w:tcPr>
          <w:p w14:paraId="452388E3" w14:textId="77777777" w:rsidR="007610A8" w:rsidRPr="00E1434C" w:rsidRDefault="007610A8" w:rsidP="008727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34C">
              <w:rPr>
                <w:rFonts w:ascii="Times New Roman" w:hAnsi="Times New Roman" w:cs="Times New Roman"/>
                <w:b/>
                <w:bCs/>
              </w:rPr>
              <w:t>Neonate Morphometric Data</w:t>
            </w:r>
          </w:p>
        </w:tc>
      </w:tr>
      <w:tr w:rsidR="007610A8" w:rsidRPr="00E1434C" w14:paraId="06B0B69F" w14:textId="77777777" w:rsidTr="008727AD">
        <w:tc>
          <w:tcPr>
            <w:tcW w:w="2337" w:type="dxa"/>
            <w:shd w:val="clear" w:color="auto" w:fill="D9D9D9" w:themeFill="background1" w:themeFillShade="D9"/>
          </w:tcPr>
          <w:p w14:paraId="6A4A480F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Line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3EBB6674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CTL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36564569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LS1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26B19BBF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LS2</w:t>
            </w:r>
          </w:p>
        </w:tc>
      </w:tr>
      <w:tr w:rsidR="007610A8" w:rsidRPr="00E1434C" w14:paraId="3D9C7FB0" w14:textId="77777777" w:rsidTr="008727AD">
        <w:tc>
          <w:tcPr>
            <w:tcW w:w="2337" w:type="dxa"/>
          </w:tcPr>
          <w:p w14:paraId="445AA922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Ossified Tibial Diaphysis Length (mm)</w:t>
            </w:r>
          </w:p>
        </w:tc>
        <w:tc>
          <w:tcPr>
            <w:tcW w:w="2337" w:type="dxa"/>
          </w:tcPr>
          <w:p w14:paraId="6517601B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E1434C">
              <w:rPr>
                <w:rFonts w:ascii="Times New Roman" w:hAnsi="Times New Roman" w:cs="Times New Roman"/>
              </w:rPr>
              <w:t xml:space="preserve">6.66 (0.06) 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>LS1, LS2</w:t>
            </w:r>
          </w:p>
        </w:tc>
        <w:tc>
          <w:tcPr>
            <w:tcW w:w="2338" w:type="dxa"/>
          </w:tcPr>
          <w:p w14:paraId="4CCED515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E1434C">
              <w:rPr>
                <w:rFonts w:ascii="Times New Roman" w:hAnsi="Times New Roman" w:cs="Times New Roman"/>
              </w:rPr>
              <w:t>7.50 (0.07)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 xml:space="preserve"> CTL</w:t>
            </w:r>
          </w:p>
        </w:tc>
        <w:tc>
          <w:tcPr>
            <w:tcW w:w="2338" w:type="dxa"/>
          </w:tcPr>
          <w:p w14:paraId="35D16856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E1434C">
              <w:rPr>
                <w:rFonts w:ascii="Times New Roman" w:hAnsi="Times New Roman" w:cs="Times New Roman"/>
              </w:rPr>
              <w:t xml:space="preserve">7.41 (0.10) 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>CTL</w:t>
            </w:r>
          </w:p>
        </w:tc>
      </w:tr>
      <w:tr w:rsidR="007610A8" w:rsidRPr="00E1434C" w14:paraId="4581C42F" w14:textId="77777777" w:rsidTr="008727AD">
        <w:tc>
          <w:tcPr>
            <w:tcW w:w="2337" w:type="dxa"/>
          </w:tcPr>
          <w:p w14:paraId="37DB519D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Litter Size</w:t>
            </w:r>
          </w:p>
        </w:tc>
        <w:tc>
          <w:tcPr>
            <w:tcW w:w="2337" w:type="dxa"/>
          </w:tcPr>
          <w:p w14:paraId="73D6C33B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E1434C">
              <w:rPr>
                <w:rFonts w:ascii="Times New Roman" w:hAnsi="Times New Roman" w:cs="Times New Roman"/>
              </w:rPr>
              <w:t xml:space="preserve">7.94 (0.55) 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>LS1, LS2</w:t>
            </w:r>
          </w:p>
        </w:tc>
        <w:tc>
          <w:tcPr>
            <w:tcW w:w="2338" w:type="dxa"/>
          </w:tcPr>
          <w:p w14:paraId="110CAE6A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E1434C">
              <w:rPr>
                <w:rFonts w:ascii="Times New Roman" w:hAnsi="Times New Roman" w:cs="Times New Roman"/>
              </w:rPr>
              <w:t xml:space="preserve">10.33 (0.51) 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>CTL</w:t>
            </w:r>
          </w:p>
        </w:tc>
        <w:tc>
          <w:tcPr>
            <w:tcW w:w="2338" w:type="dxa"/>
          </w:tcPr>
          <w:p w14:paraId="2E8BD547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E1434C">
              <w:rPr>
                <w:rFonts w:ascii="Times New Roman" w:hAnsi="Times New Roman" w:cs="Times New Roman"/>
              </w:rPr>
              <w:t xml:space="preserve">11.83 (0.51) 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>CTL</w:t>
            </w:r>
          </w:p>
        </w:tc>
      </w:tr>
      <w:tr w:rsidR="007610A8" w:rsidRPr="00E1434C" w14:paraId="3532A6E1" w14:textId="77777777" w:rsidTr="008727AD">
        <w:trPr>
          <w:trHeight w:val="385"/>
        </w:trPr>
        <w:tc>
          <w:tcPr>
            <w:tcW w:w="2337" w:type="dxa"/>
          </w:tcPr>
          <w:p w14:paraId="1E500C2E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Centroid Size </w:t>
            </w:r>
          </w:p>
        </w:tc>
        <w:tc>
          <w:tcPr>
            <w:tcW w:w="2337" w:type="dxa"/>
          </w:tcPr>
          <w:p w14:paraId="7FEFF0A9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38.49 (0.17) 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>LS1</w:t>
            </w:r>
          </w:p>
        </w:tc>
        <w:tc>
          <w:tcPr>
            <w:tcW w:w="2338" w:type="dxa"/>
          </w:tcPr>
          <w:p w14:paraId="32F08D30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39.05 (0.16) 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>CTL, LS2</w:t>
            </w:r>
          </w:p>
        </w:tc>
        <w:tc>
          <w:tcPr>
            <w:tcW w:w="2338" w:type="dxa"/>
          </w:tcPr>
          <w:p w14:paraId="516545C6" w14:textId="77777777" w:rsidR="007610A8" w:rsidRPr="00E1434C" w:rsidRDefault="007610A8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37.94 (0.16) 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>LS1</w:t>
            </w:r>
          </w:p>
        </w:tc>
      </w:tr>
    </w:tbl>
    <w:p w14:paraId="21A134C9" w14:textId="77777777" w:rsidR="00364303" w:rsidRDefault="00364303"/>
    <w:sectPr w:rsidR="003643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A8"/>
    <w:rsid w:val="00352001"/>
    <w:rsid w:val="00364303"/>
    <w:rsid w:val="007610A8"/>
    <w:rsid w:val="0085139D"/>
    <w:rsid w:val="00F4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D188"/>
  <w15:chartTrackingRefBased/>
  <w15:docId w15:val="{52BDE3C5-0CD9-4CE0-8AD0-EC4B0B67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Rolian</dc:creator>
  <cp:keywords/>
  <dc:description/>
  <cp:lastModifiedBy>Campbell Rolian</cp:lastModifiedBy>
  <cp:revision>2</cp:revision>
  <dcterms:created xsi:type="dcterms:W3CDTF">2021-04-22T13:11:00Z</dcterms:created>
  <dcterms:modified xsi:type="dcterms:W3CDTF">2021-04-22T15:56:00Z</dcterms:modified>
</cp:coreProperties>
</file>