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700"/>
        <w:gridCol w:w="700"/>
        <w:gridCol w:w="1520"/>
        <w:gridCol w:w="1340"/>
        <w:gridCol w:w="4700"/>
      </w:tblGrid>
      <w:tr w:rsidR="00C361EC" w:rsidRPr="009C04BD" w:rsidTr="00B26BF1">
        <w:trPr>
          <w:trHeight w:val="39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Sex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Age (years)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PMI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Brain region</w:t>
            </w:r>
          </w:p>
        </w:tc>
        <w:tc>
          <w:tcPr>
            <w:tcW w:w="6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04BD">
              <w:rPr>
                <w:rFonts w:ascii="Arial" w:hAnsi="Arial" w:cs="Arial"/>
                <w:b/>
                <w:bCs/>
                <w:sz w:val="14"/>
                <w:szCs w:val="14"/>
              </w:rPr>
              <w:t>Experiment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 cell counting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 cell counting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 cell counting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 (Quantification of dual-labeled cells)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&lt;36 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Dual-IF control; 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#5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Dual-IF control; 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#6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~62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&lt;36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&lt;36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1113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="00C361EC"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&lt;36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&lt;36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ISH/IF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CFF">
              <w:rPr>
                <w:rFonts w:ascii="Arial" w:hAnsi="Arial" w:cs="Arial"/>
                <w:i/>
                <w:sz w:val="14"/>
                <w:szCs w:val="14"/>
              </w:rPr>
              <w:t>GNRH1</w:t>
            </w:r>
            <w:r w:rsidRPr="009C04BD">
              <w:rPr>
                <w:rFonts w:ascii="Arial" w:hAnsi="Arial" w:cs="Arial"/>
                <w:sz w:val="14"/>
                <w:szCs w:val="14"/>
              </w:rPr>
              <w:t xml:space="preserve"> mRNA detection in GnRH-IR cells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#16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&lt;36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ISH/IF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CFF">
              <w:rPr>
                <w:rFonts w:ascii="Arial" w:hAnsi="Arial" w:cs="Arial"/>
                <w:i/>
                <w:sz w:val="14"/>
                <w:szCs w:val="14"/>
              </w:rPr>
              <w:t>GNRH1</w:t>
            </w:r>
            <w:r w:rsidRPr="009C04BD">
              <w:rPr>
                <w:rFonts w:ascii="Arial" w:hAnsi="Arial" w:cs="Arial"/>
                <w:sz w:val="14"/>
                <w:szCs w:val="14"/>
              </w:rPr>
              <w:t xml:space="preserve"> mRNA detection in GnRH-IR cells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Preabsorption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control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ISH/IF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CFF">
              <w:rPr>
                <w:rFonts w:ascii="Arial" w:hAnsi="Arial" w:cs="Arial"/>
                <w:i/>
                <w:sz w:val="14"/>
                <w:szCs w:val="14"/>
              </w:rPr>
              <w:t>GNRH1</w:t>
            </w:r>
            <w:r w:rsidRPr="009C04BD">
              <w:rPr>
                <w:rFonts w:ascii="Arial" w:hAnsi="Arial" w:cs="Arial"/>
                <w:sz w:val="14"/>
                <w:szCs w:val="14"/>
              </w:rPr>
              <w:t xml:space="preserve"> mRNA detection in GnRH-IR cells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#18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&lt;36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Preabsorption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control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ISH/IF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CFF">
              <w:rPr>
                <w:rFonts w:ascii="Arial" w:hAnsi="Arial" w:cs="Arial"/>
                <w:i/>
                <w:sz w:val="14"/>
                <w:szCs w:val="14"/>
              </w:rPr>
              <w:t>GNRH1</w:t>
            </w:r>
            <w:r w:rsidRPr="009C04BD">
              <w:rPr>
                <w:rFonts w:ascii="Arial" w:hAnsi="Arial" w:cs="Arial"/>
                <w:sz w:val="14"/>
                <w:szCs w:val="14"/>
              </w:rPr>
              <w:t xml:space="preserve"> mRNA detection in GnRH-IR cells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#19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~12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Striatum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IHC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1113C9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 c</w:t>
            </w:r>
            <w:r w:rsidRPr="009C04BD">
              <w:rPr>
                <w:rFonts w:ascii="Arial" w:hAnsi="Arial" w:cs="Arial"/>
                <w:sz w:val="14"/>
                <w:szCs w:val="14"/>
              </w:rPr>
              <w:t>ontrol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Preabsorption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control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GnRH/Chat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ISH/IF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CFF">
              <w:rPr>
                <w:rFonts w:ascii="Arial" w:hAnsi="Arial" w:cs="Arial"/>
                <w:i/>
                <w:sz w:val="14"/>
                <w:szCs w:val="14"/>
              </w:rPr>
              <w:t>GNRH1</w:t>
            </w:r>
            <w:r w:rsidRPr="009C04BD">
              <w:rPr>
                <w:rFonts w:ascii="Arial" w:hAnsi="Arial" w:cs="Arial"/>
                <w:sz w:val="14"/>
                <w:szCs w:val="14"/>
              </w:rPr>
              <w:t xml:space="preserve"> mRNA detection in GnRH-IR cells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~24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Putamen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DiI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Studies of GnRH cell morphology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&lt;6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Putamen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RNA-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Seq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 xml:space="preserve">Transcriptome analysis of 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ChINs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and SPNs (RIN: 5.7)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&lt;24 h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Putamen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RNA-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Seq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 xml:space="preserve">Transcriptome analysis of 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ChINs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and SPNs (RIN: 4.1)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&lt;6 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Hypothalamus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Putamen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6168DE" w:rsidRDefault="00C361EC" w:rsidP="00433A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 xml:space="preserve">N. </w:t>
            </w:r>
            <w:proofErr w:type="spellStart"/>
            <w:r w:rsidR="00433A71" w:rsidRPr="006168D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>audatus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6168DE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>Claustrum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#26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6168DE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>Putamen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6168DE" w:rsidRDefault="00C361EC" w:rsidP="00433A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 xml:space="preserve">N. </w:t>
            </w:r>
            <w:proofErr w:type="spellStart"/>
            <w:r w:rsidR="00433A71" w:rsidRPr="006168D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  <w:r w:rsidRPr="006168DE">
              <w:rPr>
                <w:rFonts w:ascii="Arial" w:hAnsi="Arial" w:cs="Arial"/>
                <w:color w:val="000000"/>
                <w:sz w:val="14"/>
                <w:szCs w:val="14"/>
              </w:rPr>
              <w:t>audatus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Claustrum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#28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&lt;24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Putamen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HPLC-MS/MS</w:t>
            </w:r>
          </w:p>
        </w:tc>
        <w:tc>
          <w:tcPr>
            <w:tcW w:w="4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Tissue GnRH/GnRH1-5 analytics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4BD">
              <w:rPr>
                <w:rFonts w:ascii="Arial" w:hAnsi="Arial" w:cs="Arial"/>
                <w:color w:val="000000"/>
                <w:sz w:val="14"/>
                <w:szCs w:val="14"/>
              </w:rPr>
              <w:t>Claustrum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1EC" w:rsidRPr="009C04BD" w:rsidRDefault="00C361EC" w:rsidP="00B26BF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GW11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&lt;3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Head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  <w:tr w:rsidR="00C361EC" w:rsidRPr="009C04BD" w:rsidTr="00B26BF1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#30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GW11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&lt;3 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Head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IF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EC" w:rsidRPr="009C04BD" w:rsidRDefault="00C361EC" w:rsidP="00B26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04BD">
              <w:rPr>
                <w:rFonts w:ascii="Arial" w:hAnsi="Arial" w:cs="Arial"/>
                <w:sz w:val="14"/>
                <w:szCs w:val="14"/>
              </w:rPr>
              <w:t>GnRH/</w:t>
            </w:r>
            <w:proofErr w:type="spellStart"/>
            <w:r w:rsidRPr="009C04BD">
              <w:rPr>
                <w:rFonts w:ascii="Arial" w:hAnsi="Arial" w:cs="Arial"/>
                <w:sz w:val="14"/>
                <w:szCs w:val="14"/>
              </w:rPr>
              <w:t>ChAT</w:t>
            </w:r>
            <w:proofErr w:type="spellEnd"/>
            <w:r w:rsidRPr="009C04BD">
              <w:rPr>
                <w:rFonts w:ascii="Arial" w:hAnsi="Arial" w:cs="Arial"/>
                <w:sz w:val="14"/>
                <w:szCs w:val="14"/>
              </w:rPr>
              <w:t xml:space="preserve"> colocalization studies</w:t>
            </w:r>
          </w:p>
        </w:tc>
      </w:tr>
    </w:tbl>
    <w:p w:rsidR="00E71FEA" w:rsidRDefault="006168DE">
      <w:bookmarkStart w:id="0" w:name="_GoBack"/>
      <w:bookmarkEnd w:id="0"/>
    </w:p>
    <w:sectPr w:rsidR="00E7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EC"/>
    <w:rsid w:val="001113C9"/>
    <w:rsid w:val="00433A71"/>
    <w:rsid w:val="006168DE"/>
    <w:rsid w:val="007F658F"/>
    <w:rsid w:val="00914172"/>
    <w:rsid w:val="00A76B4F"/>
    <w:rsid w:val="00AB17B7"/>
    <w:rsid w:val="00C361EC"/>
    <w:rsid w:val="00E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3E7A-C043-40BD-A1B7-B93822D2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61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2249</Characters>
  <Application>Microsoft Office Word</Application>
  <DocSecurity>0</DocSecurity>
  <Lines>18</Lines>
  <Paragraphs>5</Paragraphs>
  <ScaleCrop>false</ScaleCrop>
  <Company>MTA KOKI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Skrapits Katalin</dc:creator>
  <cp:keywords/>
  <dc:description/>
  <cp:lastModifiedBy>Skrapits Katalin</cp:lastModifiedBy>
  <cp:revision>7</cp:revision>
  <dcterms:created xsi:type="dcterms:W3CDTF">2021-03-01T13:27:00Z</dcterms:created>
  <dcterms:modified xsi:type="dcterms:W3CDTF">2021-06-03T13:38:00Z</dcterms:modified>
</cp:coreProperties>
</file>