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3"/>
        <w:tblW w:w="9824" w:type="dxa"/>
        <w:tblCellMar>
          <w:left w:w="29" w:type="dxa"/>
          <w:right w:w="29" w:type="dxa"/>
        </w:tblCellMar>
        <w:tblLook w:val="0420" w:firstRow="1" w:lastRow="0" w:firstColumn="0" w:lastColumn="0" w:noHBand="0" w:noVBand="1"/>
      </w:tblPr>
      <w:tblGrid>
        <w:gridCol w:w="3600"/>
        <w:gridCol w:w="5400"/>
        <w:gridCol w:w="824"/>
      </w:tblGrid>
      <w:tr w:rsidR="004A7CB4" w:rsidRPr="00E60291" w14:paraId="2F966BA7" w14:textId="77777777" w:rsidTr="00E60291">
        <w:trPr>
          <w:cnfStyle w:val="100000000000" w:firstRow="1" w:lastRow="0" w:firstColumn="0" w:lastColumn="0" w:oddVBand="0" w:evenVBand="0" w:oddHBand="0" w:evenHBand="0" w:firstRowFirstColumn="0" w:firstRowLastColumn="0" w:lastRowFirstColumn="0" w:lastRowLastColumn="0"/>
          <w:trHeight w:val="340"/>
        </w:trPr>
        <w:tc>
          <w:tcPr>
            <w:tcW w:w="3600" w:type="dxa"/>
            <w:hideMark/>
          </w:tcPr>
          <w:p w14:paraId="4F517A77" w14:textId="77777777" w:rsidR="004A7CB4" w:rsidRPr="00E60291" w:rsidRDefault="004A7CB4" w:rsidP="00E60291">
            <w:pPr>
              <w:jc w:val="center"/>
              <w:rPr>
                <w:rFonts w:ascii="Arial" w:hAnsi="Arial" w:cs="Arial"/>
              </w:rPr>
            </w:pPr>
            <w:r w:rsidRPr="00E60291">
              <w:rPr>
                <w:rFonts w:ascii="Arial" w:hAnsi="Arial" w:cs="Arial"/>
              </w:rPr>
              <w:t>Assumption</w:t>
            </w:r>
          </w:p>
        </w:tc>
        <w:tc>
          <w:tcPr>
            <w:tcW w:w="5400" w:type="dxa"/>
            <w:hideMark/>
          </w:tcPr>
          <w:p w14:paraId="03D4098A" w14:textId="77777777" w:rsidR="004A7CB4" w:rsidRPr="00E60291" w:rsidRDefault="004A7CB4" w:rsidP="00E60291">
            <w:pPr>
              <w:jc w:val="center"/>
              <w:rPr>
                <w:rFonts w:ascii="Arial" w:hAnsi="Arial" w:cs="Arial"/>
              </w:rPr>
            </w:pPr>
            <w:r w:rsidRPr="00E60291">
              <w:rPr>
                <w:rFonts w:ascii="Arial" w:hAnsi="Arial" w:cs="Arial"/>
              </w:rPr>
              <w:t>Anticipated EFFECT ON CONCLUSIONS</w:t>
            </w:r>
          </w:p>
        </w:tc>
        <w:tc>
          <w:tcPr>
            <w:tcW w:w="824" w:type="dxa"/>
            <w:hideMark/>
          </w:tcPr>
          <w:p w14:paraId="787EB298" w14:textId="77777777" w:rsidR="004A7CB4" w:rsidRPr="00E60291" w:rsidRDefault="004A7CB4" w:rsidP="00E60291">
            <w:pPr>
              <w:jc w:val="center"/>
              <w:rPr>
                <w:rFonts w:ascii="Arial" w:hAnsi="Arial" w:cs="Arial"/>
              </w:rPr>
            </w:pPr>
            <w:r w:rsidRPr="00E60291">
              <w:rPr>
                <w:rFonts w:ascii="Arial" w:hAnsi="Arial" w:cs="Arial"/>
              </w:rPr>
              <w:t>Refs</w:t>
            </w:r>
          </w:p>
        </w:tc>
      </w:tr>
      <w:tr w:rsidR="004A7CB4" w:rsidRPr="00E60291" w14:paraId="0D8134DE" w14:textId="77777777" w:rsidTr="00E60291">
        <w:trPr>
          <w:cnfStyle w:val="000000100000" w:firstRow="0" w:lastRow="0" w:firstColumn="0" w:lastColumn="0" w:oddVBand="0" w:evenVBand="0" w:oddHBand="1" w:evenHBand="0" w:firstRowFirstColumn="0" w:firstRowLastColumn="0" w:lastRowFirstColumn="0" w:lastRowLastColumn="0"/>
          <w:trHeight w:val="340"/>
        </w:trPr>
        <w:tc>
          <w:tcPr>
            <w:tcW w:w="3600" w:type="dxa"/>
            <w:vAlign w:val="center"/>
            <w:hideMark/>
          </w:tcPr>
          <w:p w14:paraId="38ACB804" w14:textId="77777777" w:rsidR="004A7CB4" w:rsidRPr="00E60291" w:rsidRDefault="004A7CB4" w:rsidP="00E60291">
            <w:pPr>
              <w:rPr>
                <w:rFonts w:ascii="Arial" w:hAnsi="Arial" w:cs="Arial"/>
              </w:rPr>
            </w:pPr>
            <w:r w:rsidRPr="00E60291">
              <w:rPr>
                <w:rFonts w:ascii="Arial" w:hAnsi="Arial" w:cs="Arial"/>
              </w:rPr>
              <w:t>Exponential DFE for drivers &amp; passengers</w:t>
            </w:r>
          </w:p>
        </w:tc>
        <w:tc>
          <w:tcPr>
            <w:tcW w:w="5400" w:type="dxa"/>
            <w:vAlign w:val="center"/>
            <w:hideMark/>
          </w:tcPr>
          <w:p w14:paraId="551C3CD4" w14:textId="77777777" w:rsidR="004A7CB4" w:rsidRPr="00E60291" w:rsidRDefault="004A7CB4" w:rsidP="00E60291">
            <w:pPr>
              <w:rPr>
                <w:rFonts w:ascii="Arial" w:hAnsi="Arial" w:cs="Arial"/>
              </w:rPr>
            </w:pPr>
            <w:r w:rsidRPr="00E60291">
              <w:rPr>
                <w:rFonts w:ascii="Arial" w:hAnsi="Arial" w:cs="Arial"/>
              </w:rPr>
              <w:t>ABC estimates e</w:t>
            </w:r>
            <w:r w:rsidRPr="00E60291">
              <w:rPr>
                <w:rFonts w:ascii="Arial" w:hAnsi="Arial" w:cs="Arial"/>
                <w:iCs/>
              </w:rPr>
              <w:t>ffective</w:t>
            </w:r>
            <w:r w:rsidRPr="00E60291">
              <w:rPr>
                <w:rFonts w:ascii="Arial" w:hAnsi="Arial" w:cs="Arial"/>
              </w:rPr>
              <w:t xml:space="preserve"> selection coefficients</w:t>
            </w:r>
          </w:p>
        </w:tc>
        <w:tc>
          <w:tcPr>
            <w:tcW w:w="824" w:type="dxa"/>
            <w:vAlign w:val="center"/>
            <w:hideMark/>
          </w:tcPr>
          <w:p w14:paraId="375686E1"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{"citationItems":[{"id":"ITEM-1","itemData":{"DOI":"10.1073/pnas.1119910109","ISSN":"1091-6490","PMID":"22371564","abstract":"When large asexual populations adapt, competition between simultaneously segregating mutations slows the rate of adaptation and restricts the set of mutations that eventually fix. This phenomenon of interference arises from competition between mutations of different strengths as well as competition between mutations that arise on different fitness backgrounds. Previous work has explored each of these effects in isolation, but the way they combine to influence the dynamics of adaptation remains largely unknown. Here, we describe a theoretical model to treat both aspects of interference in large populations. We calculate the rate of adaptation and the distribution of fixed mutational effects accumulated by the population. We focus particular attention on the case when the effects of beneficial mutations are exponentially distributed, as well as on a more general class of exponential-like distributions. In both cases, we show that the rate of adaptation and the influence of genetic background on the fixation of new mutants is equivalent to an effective model with a single selection coefficient and rescaled mutation rate, and we explicitly calculate these effective parameters. We find that the effective selection coefficient exactly coincides with the most common fixed mutational effect. This equivalence leads to an intuitive picture of the relative importance of different types of interference effects, which can shift dramatically as a function of the population size, mutation rate, and the underlying distribution of fitness effects.","author":[{"dropping-particle":"","family":"Good","given":"Benjamin H","non-dropping-particle":"","parse-names":false,"suffix":""},{"dropping-particle":"","family":"Rouzine","given":"Igor M","non-dropping-particle":"","parse-names":false,"suffix":""},{"dropping-particle":"","family":"Balick","given":"Daniel J","non-dropping-particle":"","parse-names":false,"suffix":""},{"dropping-particle":"","family":"Hallatschek","given":"Oskar","non-dropping-particle":"","parse-names":false,"suffix":""},{"dropping-particle":"","family":"Desai","given":"Michael M","non-dropping-particle":"","parse-names":false,"suffix":""}],"container-title":"Proc Natl Acad Sci USA","id":"ITEM-1","issue":"13","issued":{"date-parts":[["2012","3"]]},"page":"4950-4955","title":"Distribution of fixed beneficial mutations and the rate of adaptation in asexual populations.","type":"article-journal","volume":"109"},"uris":["http://www.mendeley.com/documents/?uuid=29f463e9-f398-4c73-a8b1-6d1dea2b2818","http://www.mendeley.com/documents/?uuid=428e471e-9b3e-424c-89fe-d72c2172b236"]}],"mendeley":{"formattedCitation":"&lt;sup&gt;81&lt;/sup&gt;","plainTextFormattedCitation":"81","previouslyFormattedCitation":"&lt;sup&gt;79&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81</w:t>
            </w:r>
            <w:r w:rsidRPr="00E60291">
              <w:rPr>
                <w:rFonts w:ascii="Arial" w:hAnsi="Arial" w:cs="Arial"/>
              </w:rPr>
              <w:fldChar w:fldCharType="end"/>
            </w:r>
          </w:p>
        </w:tc>
      </w:tr>
      <w:tr w:rsidR="004A7CB4" w:rsidRPr="00E60291" w14:paraId="101574C3" w14:textId="77777777" w:rsidTr="00E60291">
        <w:trPr>
          <w:trHeight w:val="340"/>
        </w:trPr>
        <w:tc>
          <w:tcPr>
            <w:tcW w:w="3600" w:type="dxa"/>
            <w:vAlign w:val="center"/>
            <w:hideMark/>
          </w:tcPr>
          <w:p w14:paraId="30D5D4EF" w14:textId="77777777" w:rsidR="004A7CB4" w:rsidRPr="00E60291" w:rsidRDefault="004A7CB4" w:rsidP="00E60291">
            <w:pPr>
              <w:rPr>
                <w:rFonts w:ascii="Arial" w:hAnsi="Arial" w:cs="Arial"/>
              </w:rPr>
            </w:pPr>
            <w:r w:rsidRPr="00E60291">
              <w:rPr>
                <w:rFonts w:ascii="Arial" w:hAnsi="Arial" w:cs="Arial"/>
              </w:rPr>
              <w:t>Cells are well-mixed (no spatial structure)</w:t>
            </w:r>
          </w:p>
        </w:tc>
        <w:tc>
          <w:tcPr>
            <w:tcW w:w="5400" w:type="dxa"/>
            <w:vAlign w:val="center"/>
            <w:hideMark/>
          </w:tcPr>
          <w:p w14:paraId="165695B7" w14:textId="77777777" w:rsidR="004A7CB4" w:rsidRPr="00E60291" w:rsidRDefault="004A7CB4" w:rsidP="00E60291">
            <w:pPr>
              <w:rPr>
                <w:rFonts w:ascii="Arial" w:hAnsi="Arial" w:cs="Arial"/>
              </w:rPr>
            </w:pPr>
            <w:r w:rsidRPr="00E60291">
              <w:rPr>
                <w:rFonts w:ascii="Arial" w:hAnsi="Arial" w:cs="Arial"/>
              </w:rPr>
              <w:t>Reduced Hill-Robertson interference</w:t>
            </w:r>
          </w:p>
        </w:tc>
        <w:tc>
          <w:tcPr>
            <w:tcW w:w="824" w:type="dxa"/>
            <w:vAlign w:val="center"/>
            <w:hideMark/>
          </w:tcPr>
          <w:p w14:paraId="12BA4C80"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{"citationItems":[{"id":"ITEM-1","itemData":{"DOI":"10.1088/1478-3975/9/2/026008","ISSN":"1478-3975","PMID":"22476106","abstract":"Evolutionary experiments with microbes are a powerful tool to study mutations and natural selection. These experiments, however, are often limited to the well-mixed environments of a test tube or a chemostat. Since spatial organization can significantly affect evolutionary dynamics, the need is growing for evolutionary experiments in spatially structured environments. The surface of a Petri dish provides such an environment, but a more detailed understanding of microbial growth on Petri dishes is necessary to interpret such experiments. We formulate a simple deterministic reaction-diffusion model, which successfully predicts the spatial patterns created by two competing species during colony expansion. We also derive the shape of these patterns analytically without relying on microscopic details of the model. In particular, we find that the relative fitness of two microbial strains can be estimated from the logarithmic spirals created by selective sweeps. The theory is tested with strains of the budding yeast Saccharomyces cerevisiae for spatial competitions with different initial conditions and for a range of relative fitnesses. The reaction-diffusion model also connects the microscopic parameters like growth rates and diffusion constants with macroscopic spatial patterns and predicts the relationship between fitness in liquid cultures and on Petri dishes, which we confirmed experimentally. Spatial sector patterns therefore provide an alternative fitness assay to the commonly used liquid culture fitness assays.","author":[{"dropping-particle":"","family":"Korolev","given":"Kirill S","non-dropping-particle":"","parse-names":false,"suffix":""},{"dropping-particle":"","family":"Müller","given":"Melanie J I","non-dropping-particle":"","parse-names":false,"suffix":""},{"dropping-particle":"","family":"Karahan","given":"Nilay","non-dropping-particle":"","parse-names":false,"suffix":""},{"dropping-particle":"","family":"Murray","given":"Andrew W","non-dropping-particle":"","parse-names":false,"suffix":""},{"dropping-particle":"","family":"Hallatschek","given":"Oskar","non-dropping-particle":"","parse-names":false,"suffix":""},{"dropping-particle":"","family":"Nelson","given":"David R","non-dropping-particle":"","parse-names":false,"suffix":""}],"container-title":"Phys Biol","id":"ITEM-1","issue":"2","issued":{"date-parts":[["2012","1"]]},"page":"26008","title":"Selective sweeps in growing microbial colonies.","type":"article-journal","volume":"9"},"uris":["http://www.mendeley.com/documents/?uuid=f7c197d6-582d-41e6-9e55-dcc367ba2e89","http://www.mendeley.com/documents/?uuid=f3b62f7e-e314-4fee-b355-4e728623733a"]},{"id":"ITEM-2","itemData":{"DOI":"10.1088/1367-2630/13/11/115014.Spatial","author":[{"dropping-particle":"","family":"Erik A. Martens, Rumen Kostadinov, Carlo C. Maley","given":"and Oskar Hallatschek","non-dropping-particle":"","parse-names":false,"suffix":""},{"dropping-particle":"","family":"Erik A. Martens, Rumen Kostadinov, Carlo C. Maley","given":"","non-dropping-particle":"","parse-names":false,"suffix":""},{"dropping-particle":"","family":"Hallatschek","given":"Oskar","non-dropping-particle":"","parse-names":false,"suffix":""},{"dropping-particle":"","family":"Martens","given":"Erik A","non-dropping-particle":"","parse-names":false,"suffix":""},{"dropping-particle":"","family":"Kostadinov","given":"Rumen","non-dropping-particle":"","parse-names":false,"suffix":""},{"dropping-particle":"","family":"Maley","given":"Carlo C","non-dropping-particle":"","parse-names":false,"suffix":""}],"container-title":"New J Phys","id":"ITEM-2","issue":"11","issued":{"date-parts":[["2012"]]},"page":"1-25","publisher":"IOP Publishing","title":"Spatial structure increases the waiting time for cancer","type":"article-journal","volume":"13"},"uris":["http://www.mendeley.com/documents/?uuid=4202d07d-a0a9-4f81-9ec5-2fc70761b84f","http://www.mendeley.com/documents/?uuid=46c7202f-1c84-4a50-a07f-2f415777db0e"]},{"id":"ITEM-3","itemData":{"DOI":"10.1038/ng.3214","ISSN":"15461718","abstract":"What happens in early, still undetectable human malignancies is unknown because direct observations are impractical. Here we present and validate a 'Big Bang' model, whereby tumors grow predominantly as a single expansion producing numerous intermixed subclones that are not subject to stringent selection and where both public (clonal) and most detectable private (subclonal) alterations arise early during growth. Genomic profiling of 349 individual glands from 15 colorectal tumors showed an absence of selective sweeps, uniformly high intratumoral heterogeneity (ITH) and subclone mixing in distant regions, as postulated by our model. We also verified the prediction that most detectable ITH originates from early private alterations and not from later clonal expansions, thus exposing the profile of the primordial tumor. Moreover, some tumors appear 'born to be bad', with subclone mixing indicative of early malignant potential. This new model provides a quantitative framework to interpret tumor growth dynamics and the origins of ITH, with important clinical implications.","author":[{"dropping-particle":"","family":"Sottoriva","given":"Andrea","non-dropping-particle":"","parse-names":false,"suffix":""},{"dropping-particle":"","family":"Kang","given":"Haeyoun","non-dropping-particle":"","parse-names":false,"suffix":""},{"dropping-particle":"","family":"Ma","given":"Zhicheng","non-dropping-particle":"","parse-names":false,"suffix":""},{"dropping-particle":"","family":"Graham","given":"Trevor A.","non-dropping-particle":"","parse-names":false,"suffix":""},{"dropping-particle":"","family":"Salomon","given":"Matthew P.","non-dropping-particle":"","parse-names":false,"suffix":""},{"dropping-particle":"","family":"Zhao","given":"Junsong","non-dropping-particle":"","parse-names":false,"suffix":""},{"dropping-particle":"","family":"Marjoram","given":"Paul","non-dropping-particle":"","parse-names":false,"suffix":""},{"dropping-particle":"","family":"Siegmund","given":"Kimberly","non-dropping-particle":"","parse-names":false,"suffix":""},{"dropping-particle":"","family":"Press","given":"Michael F.","non-dropping-particle":"","parse-names":false,"suffix":""},{"dropping-particle":"","family":"Shibata","given":"Darryl","non-dropping-particle":"","parse-names":false,"suffix":""},{"dropping-particle":"","family":"Curtis","given":"Christina","non-dropping-particle":"","parse-names":false,"suffix":""}],"container-title":"Nature Genetics","id":"ITEM-3","issued":{"date-parts":[["2015"]]},"title":"A big bang model of human colorectal tumor growth","type":"article-journal"},"uris":["http://www.mendeley.com/documents/?uuid=f9bb4587-0ca3-4cc3-bce7-7c4360984a6e"]}],"mendeley":{"formattedCitation":"&lt;sup&gt;19,82,83&lt;/sup&gt;","plainTextFormattedCitation":"19,82,83","previouslyFormattedCitation":"&lt;sup&gt;19,80,81&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19,82,83</w:t>
            </w:r>
            <w:r w:rsidRPr="00E60291">
              <w:rPr>
                <w:rFonts w:ascii="Arial" w:hAnsi="Arial" w:cs="Arial"/>
              </w:rPr>
              <w:fldChar w:fldCharType="end"/>
            </w:r>
          </w:p>
        </w:tc>
      </w:tr>
      <w:tr w:rsidR="004A7CB4" w:rsidRPr="00E60291" w14:paraId="64884369" w14:textId="77777777" w:rsidTr="00E60291">
        <w:trPr>
          <w:cnfStyle w:val="000000100000" w:firstRow="0" w:lastRow="0" w:firstColumn="0" w:lastColumn="0" w:oddVBand="0" w:evenVBand="0" w:oddHBand="1" w:evenHBand="0" w:firstRowFirstColumn="0" w:firstRowLastColumn="0" w:lastRowFirstColumn="0" w:lastRowLastColumn="0"/>
          <w:trHeight w:val="576"/>
        </w:trPr>
        <w:tc>
          <w:tcPr>
            <w:tcW w:w="3600" w:type="dxa"/>
            <w:vAlign w:val="center"/>
            <w:hideMark/>
          </w:tcPr>
          <w:p w14:paraId="222D2167" w14:textId="77777777" w:rsidR="004A7CB4" w:rsidRPr="00E60291" w:rsidRDefault="004A7CB4" w:rsidP="00E60291">
            <w:pPr>
              <w:rPr>
                <w:rFonts w:ascii="Arial" w:hAnsi="Arial" w:cs="Arial"/>
              </w:rPr>
            </w:pPr>
            <w:r w:rsidRPr="00E60291">
              <w:rPr>
                <w:rFonts w:ascii="Arial" w:hAnsi="Arial" w:cs="Arial"/>
              </w:rPr>
              <w:t>Gompertzian growth dynamics in-between drivers</w:t>
            </w:r>
          </w:p>
        </w:tc>
        <w:tc>
          <w:tcPr>
            <w:tcW w:w="5400" w:type="dxa"/>
            <w:vAlign w:val="center"/>
            <w:hideMark/>
          </w:tcPr>
          <w:p w14:paraId="3867279D" w14:textId="77777777" w:rsidR="004A7CB4" w:rsidRPr="00E60291" w:rsidRDefault="004A7CB4" w:rsidP="00E60291">
            <w:pPr>
              <w:rPr>
                <w:rFonts w:ascii="Arial" w:hAnsi="Arial" w:cs="Arial"/>
              </w:rPr>
            </w:pPr>
            <w:r w:rsidRPr="00E60291">
              <w:rPr>
                <w:rFonts w:ascii="Arial" w:hAnsi="Arial" w:cs="Arial"/>
              </w:rPr>
              <w:t>Decreased inferred strength of drivers relative to no growth constraints</w:t>
            </w:r>
          </w:p>
        </w:tc>
        <w:tc>
          <w:tcPr>
            <w:tcW w:w="824" w:type="dxa"/>
            <w:vAlign w:val="center"/>
            <w:hideMark/>
          </w:tcPr>
          <w:p w14:paraId="6867788A"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{"citationItems":[{"id":"ITEM-1","itemData":{"DOI":"10.1073/pnas.1404341111","ISBN":"1091-6490 (Electronic)\\r0027-8424 (Linking)","ISSN":"0027-8424","PMID":"25277973","abstract":"Cancer progression is an example of a rapid adaptive process where evolving new traits is essential for survival and requires a high mutation rate. Precancerous cells acquire a few key mutations that drive rapid population growth and carcinogenesis. Cancer genomics demonstrates that these few driver mutations occur alongside thousands of random passenger mutations--a natural consequence of cancer's elevated mutation rate. Some passengers are deleterious to cancer cells, yet have been largely ignored in cancer research. In population genetics, however, the accumulation of mildly deleterious mutations has been shown to cause population meltdown. Here we develop a stochastic population model where beneficial drivers engage in a tug-of-war with frequent mildly deleterious passengers. These passengers present a barrier to cancer progression describable by a critical population size, below which most lesions fail to progress, and a critical mutation rate, above which cancers melt down. We find support for this model in cancer age-incidence and cancer genomics data that also allow us to estimate the fitness advantage of drivers and fitness costs of passengers. We identify two regimes of adaptive evolutionary dynamics and use these regimes to understand successes and failures of different treatment strategies. A tumor's load of deleterious passengers can explain previously paradoxical treatment outcomes and suggest that it could potentially serve as a biomarker of response to mutagenic therapies. The collective deleterious effect of passengers is currently an unexploited therapeutic target. We discuss how their effects might be exacerbated by current and future therapies.","author":[{"dropping-particle":"","family":"McFarland","given":"Christopher D.","non-dropping-particle":"","parse-names":false,"suffix":""},{"dropping-particle":"","family":"Mirny","given":"Leonid A.","non-dropping-particle":"","parse-names":false,"suffix":""},{"dropping-particle":"","family":"Korolev","given":"Kirill S.","non-dropping-particle":"","parse-names":false,"suffix":""}],"container-title":"Proceedings of the National Academy of Sciences","id":"ITEM-1","issued":{"date-parts":[["2014"]]},"title":"Tug-of-war between driver and passenger mutations in cancer and other adaptive processes","type":"article-journal"},"uris":["http://www.mendeley.com/documents/?uuid=156c696e-9a05-4a15-a080-6e7796104fc1"]}],"mendeley":{"formattedCitation":"&lt;sup&gt;68&lt;/sup&gt;","plainTextFormattedCitation":"68","previouslyFormattedCitation":"&lt;sup&gt;68&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68</w:t>
            </w:r>
            <w:r w:rsidRPr="00E60291">
              <w:rPr>
                <w:rFonts w:ascii="Arial" w:hAnsi="Arial" w:cs="Arial"/>
              </w:rPr>
              <w:fldChar w:fldCharType="end"/>
            </w:r>
          </w:p>
        </w:tc>
      </w:tr>
      <w:tr w:rsidR="004A7CB4" w:rsidRPr="00E60291" w14:paraId="0B218585" w14:textId="77777777" w:rsidTr="00E60291">
        <w:trPr>
          <w:trHeight w:val="340"/>
        </w:trPr>
        <w:tc>
          <w:tcPr>
            <w:tcW w:w="3600" w:type="dxa"/>
            <w:vAlign w:val="center"/>
            <w:hideMark/>
          </w:tcPr>
          <w:p w14:paraId="5A8F07F5" w14:textId="77777777" w:rsidR="004A7CB4" w:rsidRPr="00E60291" w:rsidRDefault="004A7CB4" w:rsidP="00E60291">
            <w:pPr>
              <w:rPr>
                <w:rFonts w:ascii="Arial" w:hAnsi="Arial" w:cs="Arial"/>
              </w:rPr>
            </w:pPr>
            <w:r w:rsidRPr="00E60291">
              <w:rPr>
                <w:rFonts w:ascii="Arial" w:hAnsi="Arial" w:cs="Arial"/>
              </w:rPr>
              <w:t>Only 50% of tumors progress to cancer</w:t>
            </w:r>
          </w:p>
        </w:tc>
        <w:tc>
          <w:tcPr>
            <w:tcW w:w="5400" w:type="dxa"/>
            <w:vAlign w:val="center"/>
            <w:hideMark/>
          </w:tcPr>
          <w:p w14:paraId="3C3122A9" w14:textId="77777777" w:rsidR="004A7CB4" w:rsidRPr="00E60291" w:rsidRDefault="004A7CB4" w:rsidP="00E60291">
            <w:pPr>
              <w:rPr>
                <w:rFonts w:ascii="Arial" w:hAnsi="Arial" w:cs="Arial"/>
              </w:rPr>
            </w:pPr>
            <w:r w:rsidRPr="00E60291">
              <w:rPr>
                <w:rFonts w:ascii="Arial" w:hAnsi="Arial" w:cs="Arial"/>
              </w:rPr>
              <w:t>Mutational burdens widen as progression probability declines</w:t>
            </w:r>
          </w:p>
        </w:tc>
        <w:tc>
          <w:tcPr>
            <w:tcW w:w="824" w:type="dxa"/>
            <w:vAlign w:val="center"/>
            <w:hideMark/>
          </w:tcPr>
          <w:p w14:paraId="440B935F"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{"citationItems":[{"id":"ITEM-1","itemData":{"DOI":"10.1073/pnas.1404341111","ISBN":"1091-6490 (Electronic)\\r0027-8424 (Linking)","ISSN":"0027-8424","PMID":"25277973","abstract":"Cancer progression is an example of a rapid adaptive process where evolving new traits is essential for survival and requires a high mutation rate. Precancerous cells acquire a few key mutations that drive rapid population growth and carcinogenesis. Cancer genomics demonstrates that these few driver mutations occur alongside thousands of random passenger mutations--a natural consequence of cancer's elevated mutation rate. Some passengers are deleterious to cancer cells, yet have been largely ignored in cancer research. In population genetics, however, the accumulation of mildly deleterious mutations has been shown to cause population meltdown. Here we develop a stochastic population model where beneficial drivers engage in a tug-of-war with frequent mildly deleterious passengers. These passengers present a barrier to cancer progression describable by a critical population size, below which most lesions fail to progress, and a critical mutation rate, above which cancers melt down. We find support for this model in cancer age-incidence and cancer genomics data that also allow us to estimate the fitness advantage of drivers and fitness costs of passengers. We identify two regimes of adaptive evolutionary dynamics and use these regimes to understand successes and failures of different treatment strategies. A tumor's load of deleterious passengers can explain previously paradoxical treatment outcomes and suggest that it could potentially serve as a biomarker of response to mutagenic therapies. The collective deleterious effect of passengers is currently an unexploited therapeutic target. We discuss how their effects might be exacerbated by current and future therapies.","author":[{"dropping-particle":"","family":"McFarland","given":"Christopher D.","non-dropping-particle":"","parse-names":false,"suffix":""},{"dropping-particle":"","family":"Mirny","given":"Leonid A.","non-dropping-particle":"","parse-names":false,"suffix":""},{"dropping-particle":"","family":"Korolev","given":"Kirill S.","non-dropping-particle":"","parse-names":false,"suffix":""}],"container-title":"Proceedings of the National Academy of Sciences","id":"ITEM-1","issued":{"date-parts":[["2014"]]},"title":"Tug-of-war between driver and passenger mutations in cancer and other adaptive processes","type":"article-journal"},"uris":["http://www.mendeley.com/documents/?uuid=156c696e-9a05-4a15-a080-6e7796104fc1"]}],"mendeley":{"formattedCitation":"&lt;sup&gt;68&lt;/sup&gt;","plainTextFormattedCitation":"68","previouslyFormattedCitation":"&lt;sup&gt;68&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68</w:t>
            </w:r>
            <w:r w:rsidRPr="00E60291">
              <w:rPr>
                <w:rFonts w:ascii="Arial" w:hAnsi="Arial" w:cs="Arial"/>
              </w:rPr>
              <w:fldChar w:fldCharType="end"/>
            </w:r>
          </w:p>
        </w:tc>
      </w:tr>
      <w:tr w:rsidR="004A7CB4" w:rsidRPr="00E60291" w14:paraId="4AD68E65" w14:textId="77777777" w:rsidTr="00E60291">
        <w:trPr>
          <w:cnfStyle w:val="000000100000" w:firstRow="0" w:lastRow="0" w:firstColumn="0" w:lastColumn="0" w:oddVBand="0" w:evenVBand="0" w:oddHBand="1" w:evenHBand="0" w:firstRowFirstColumn="0" w:firstRowLastColumn="0" w:lastRowFirstColumn="0" w:lastRowLastColumn="0"/>
          <w:trHeight w:val="340"/>
        </w:trPr>
        <w:tc>
          <w:tcPr>
            <w:tcW w:w="3600" w:type="dxa"/>
            <w:vAlign w:val="center"/>
            <w:hideMark/>
          </w:tcPr>
          <w:p w14:paraId="200C0946" w14:textId="77777777" w:rsidR="004A7CB4" w:rsidRPr="00E60291" w:rsidRDefault="004A7CB4" w:rsidP="00E60291">
            <w:pPr>
              <w:rPr>
                <w:rFonts w:ascii="Arial" w:hAnsi="Arial" w:cs="Arial"/>
              </w:rPr>
            </w:pPr>
            <w:r w:rsidRPr="00E60291">
              <w:rPr>
                <w:rFonts w:ascii="Arial" w:hAnsi="Arial" w:cs="Arial"/>
              </w:rPr>
              <w:t>No (reciprocal) sign epistasis</w:t>
            </w:r>
          </w:p>
        </w:tc>
        <w:tc>
          <w:tcPr>
            <w:tcW w:w="5400" w:type="dxa"/>
            <w:vAlign w:val="center"/>
            <w:hideMark/>
          </w:tcPr>
          <w:p w14:paraId="08CC80A0" w14:textId="77777777" w:rsidR="004A7CB4" w:rsidRPr="00E60291" w:rsidRDefault="004A7CB4" w:rsidP="00E60291">
            <w:pPr>
              <w:rPr>
                <w:rFonts w:ascii="Arial" w:hAnsi="Arial" w:cs="Arial"/>
              </w:rPr>
            </w:pPr>
            <w:r w:rsidRPr="00E60291">
              <w:rPr>
                <w:rFonts w:ascii="Arial" w:hAnsi="Arial" w:cs="Arial"/>
              </w:rPr>
              <w:t>Stronger fitness benefits of drivers in adaptive contexts</w:t>
            </w:r>
          </w:p>
        </w:tc>
        <w:tc>
          <w:tcPr>
            <w:tcW w:w="824" w:type="dxa"/>
            <w:vAlign w:val="center"/>
            <w:hideMark/>
          </w:tcPr>
          <w:p w14:paraId="286F2476"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{"citationItems":[{"id":"ITEM-1","itemData":{"author":[{"dropping-particle":"","family":"Krug","given":"Joachim","non-dropping-particle":"","parse-names":false,"suffix":""}],"id":"ITEM-1","issued":{"date-parts":[["2014"]]},"page":"1-33","title":"Adaptation in tunably rugged fitness landscapes: The Rough Mount Fuji Model","type":"article-journal"},"uris":["http://www.mendeley.com/documents/?uuid=5c6b8f75-0d1b-426a-bd3d-a7fcfd4aa281","http://www.mendeley.com/documents/?uuid=c72f96b7-1957-4da2-8885-0b7a87696ae2"]},{"id":"ITEM-2","itemData":{"DOI":"10.1038/s41588-018-0083-2","ISSN":"15461718","author":[{"dropping-particle":"","family":"Rogers","given":"Zoë N.","non-dropping-particle":"","parse-names":false,"suffix":""},{"dropping-particle":"","family":"McFarland","given":"Christopher D.","non-dropping-particle":"","parse-names":false,"suffix":""},{"dropping-particle":"","family":"Winters","given":"Ian P.","non-dropping-particle":"","parse-names":false,"suffix":""},{"dropping-particle":"","family":"Seoane","given":"Jose A.","non-dropping-particle":"","parse-names":false,"suffix":""},{"dropping-particle":"","family":"Brady","given":"Jennifer J.","non-dropping-particle":"","parse-names":false,"suffix":""},{"dropping-particle":"","family":"Yoon","given":"Stephanie","non-dropping-particle":"","parse-names":false,"suffix":""},{"dropping-particle":"","family":"Curtis","given":"Christina","non-dropping-particle":"","parse-names":false,"suffix":""},{"dropping-particle":"","family":"Petrov","given":"Dmitri A.","non-dropping-particle":"","parse-names":false,"suffix":""},{"dropping-particle":"","family":"Winslow","given":"Monte M.","non-dropping-particle":"","parse-names":false,"suffix":""}],"container-title":"Nature Genetics","id":"ITEM-2","issued":{"date-parts":[["2018"]]},"title":"Mapping the in vivo fitness landscape of lung adenocarcinoma tumor suppression in mice","type":"article-journal"},"uris":["http://www.mendeley.com/documents/?uuid=4f02d2ed-c7cf-4e01-93a6-906bc057eb19"]}],"mendeley":{"formattedCitation":"&lt;sup&gt;84,85&lt;/sup&gt;","plainTextFormattedCitation":"84,85","previouslyFormattedCitation":"&lt;sup&gt;82,83&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84,85</w:t>
            </w:r>
            <w:r w:rsidRPr="00E60291">
              <w:rPr>
                <w:rFonts w:ascii="Arial" w:hAnsi="Arial" w:cs="Arial"/>
              </w:rPr>
              <w:fldChar w:fldCharType="end"/>
            </w:r>
          </w:p>
        </w:tc>
      </w:tr>
      <w:tr w:rsidR="004A7CB4" w:rsidRPr="00E60291" w14:paraId="09B661FE" w14:textId="77777777" w:rsidTr="00E60291">
        <w:trPr>
          <w:trHeight w:val="340"/>
        </w:trPr>
        <w:tc>
          <w:tcPr>
            <w:tcW w:w="3600" w:type="dxa"/>
            <w:vAlign w:val="center"/>
            <w:hideMark/>
          </w:tcPr>
          <w:p w14:paraId="24219621" w14:textId="77777777" w:rsidR="004A7CB4" w:rsidRPr="00E60291" w:rsidRDefault="004A7CB4" w:rsidP="00E60291">
            <w:pPr>
              <w:rPr>
                <w:rFonts w:ascii="Arial" w:hAnsi="Arial" w:cs="Arial"/>
              </w:rPr>
            </w:pPr>
            <w:r w:rsidRPr="00E60291">
              <w:rPr>
                <w:rFonts w:ascii="Arial" w:hAnsi="Arial" w:cs="Arial"/>
              </w:rPr>
              <w:t>Constant mutation rate for each tumor</w:t>
            </w:r>
          </w:p>
        </w:tc>
        <w:tc>
          <w:tcPr>
            <w:tcW w:w="5400" w:type="dxa"/>
            <w:vAlign w:val="center"/>
            <w:hideMark/>
          </w:tcPr>
          <w:p w14:paraId="378936DF" w14:textId="77777777" w:rsidR="004A7CB4" w:rsidRPr="00E60291" w:rsidRDefault="004A7CB4" w:rsidP="00E60291">
            <w:pPr>
              <w:rPr>
                <w:rFonts w:ascii="Arial" w:hAnsi="Arial" w:cs="Arial"/>
              </w:rPr>
            </w:pPr>
            <w:r w:rsidRPr="00E60291">
              <w:rPr>
                <w:rFonts w:ascii="Arial" w:hAnsi="Arial" w:cs="Arial"/>
              </w:rPr>
              <w:t>Hill-Robertson interference would increase</w:t>
            </w:r>
          </w:p>
        </w:tc>
        <w:tc>
          <w:tcPr>
            <w:tcW w:w="824" w:type="dxa"/>
            <w:vAlign w:val="center"/>
            <w:hideMark/>
          </w:tcPr>
          <w:p w14:paraId="260ADC69"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{"citationItems":[{"id":"ITEM-1","itemData":{"DOI":"10.1534/genetics.112.141291","ISSN":"1943-2631","PMID":"22661327","abstract":"The vast majority of mutations are deleterious and are eliminated by purifying selection. Yet in finite asexual populations, purifying selection cannot completely prevent the accumulation of deleterious mutations due to Muller's ratchet: once lost by stochastic drift, the most-fit class of genotypes is lost forever. If deleterious mutations are weakly selected, Muller's ratchet can lead to a rapid degradation of population fitness. Evidently, the long-term stability of an asexual population requires an influx of beneficial mutations that continuously compensate for the accumulation of the weakly deleterious ones. Hence any stable evolutionary state of a population in a static environment must involve a dynamic mutation-selection balance, where accumulation of deleterious mutations is on average offset by the influx of beneficial mutations. We argue that such a state can exist for any population size N and mutation rate U and calculate the fraction of beneficial mutations, ε, that maintains the balanced state. We find that a surprisingly low ε suffices to achieve stability, even in small populations in the face of high mutation rates and weak selection, maintaining a well-adapted population in spite of Muller's ratchet. This may explain the maintenance of mitochondria and other asexual genomes.","author":[{"dropping-particle":"","family":"Goyal","given":"Sidhartha","non-dropping-particle":"","parse-names":false,"suffix":""},{"dropping-particle":"","family":"Balick","given":"Daniel J","non-dropping-particle":"","parse-names":false,"suffix":""},{"dropping-particle":"","family":"Jerison","given":"Elizabeth R","non-dropping-particle":"","parse-names":false,"suffix":""},{"dropping-particle":"","family":"Neher","given":"Richard a","non-dropping-particle":"","parse-names":false,"suffix":""},{"dropping-particle":"","family":"Shraiman","given":"Boris I","non-dropping-particle":"","parse-names":false,"suffix":""},{"dropping-particle":"","family":"Desai","given":"Michael M","non-dropping-particle":"","parse-names":false,"suffix":""}],"container-title":"Genetics","id":"ITEM-1","issue":"4","issued":{"date-parts":[["2012","8"]]},"page":"1309-1319","title":"Dynamic mutation-selection balance as an evolutionary attractor.","type":"article-journal","volume":"191"},"uris":["http://www.mendeley.com/documents/?uuid=4e87e672-8417-4391-98a4-62b067b67d2e","http://www.mendeley.com/documents/?uuid=d961f090-b063-4037-9053-4f3398e210f0"]}],"mendeley":{"formattedCitation":"&lt;sup&gt;86&lt;/sup&gt;","plainTextFormattedCitation":"86","previouslyFormattedCitation":"&lt;sup&gt;84&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86</w:t>
            </w:r>
            <w:r w:rsidRPr="00E60291">
              <w:rPr>
                <w:rFonts w:ascii="Arial" w:hAnsi="Arial" w:cs="Arial"/>
              </w:rPr>
              <w:fldChar w:fldCharType="end"/>
            </w:r>
          </w:p>
        </w:tc>
      </w:tr>
      <w:tr w:rsidR="004A7CB4" w:rsidRPr="00E60291" w14:paraId="4BD996DF" w14:textId="77777777" w:rsidTr="00E60291">
        <w:trPr>
          <w:cnfStyle w:val="000000100000" w:firstRow="0" w:lastRow="0" w:firstColumn="0" w:lastColumn="0" w:oddVBand="0" w:evenVBand="0" w:oddHBand="1" w:evenHBand="0" w:firstRowFirstColumn="0" w:firstRowLastColumn="0" w:lastRowFirstColumn="0" w:lastRowLastColumn="0"/>
          <w:trHeight w:val="576"/>
        </w:trPr>
        <w:tc>
          <w:tcPr>
            <w:tcW w:w="3600" w:type="dxa"/>
            <w:vAlign w:val="center"/>
            <w:hideMark/>
          </w:tcPr>
          <w:p w14:paraId="34DA0971" w14:textId="77777777" w:rsidR="004A7CB4" w:rsidRPr="00E60291" w:rsidRDefault="004A7CB4" w:rsidP="00E60291">
            <w:pPr>
              <w:rPr>
                <w:rFonts w:ascii="Arial" w:hAnsi="Arial" w:cs="Arial"/>
              </w:rPr>
            </w:pPr>
            <w:r w:rsidRPr="00E60291">
              <w:rPr>
                <w:rFonts w:ascii="Arial" w:hAnsi="Arial" w:cs="Arial"/>
              </w:rPr>
              <w:t>Simulated tumor is genotyped at transformation</w:t>
            </w:r>
          </w:p>
        </w:tc>
        <w:tc>
          <w:tcPr>
            <w:tcW w:w="5400" w:type="dxa"/>
            <w:vAlign w:val="center"/>
            <w:hideMark/>
          </w:tcPr>
          <w:p w14:paraId="2BA9086C" w14:textId="77777777" w:rsidR="004A7CB4" w:rsidRPr="00E60291" w:rsidRDefault="004A7CB4" w:rsidP="00E60291">
            <w:pPr>
              <w:rPr>
                <w:rFonts w:ascii="Arial" w:hAnsi="Arial" w:cs="Arial"/>
              </w:rPr>
            </w:pPr>
            <w:r w:rsidRPr="00E60291">
              <w:rPr>
                <w:rFonts w:ascii="Arial" w:hAnsi="Arial" w:cs="Arial"/>
              </w:rPr>
              <w:t>Late (</w:t>
            </w:r>
            <w:proofErr w:type="spellStart"/>
            <w:r w:rsidRPr="00E60291">
              <w:rPr>
                <w:rFonts w:ascii="Arial" w:hAnsi="Arial" w:cs="Arial"/>
              </w:rPr>
              <w:t>subclonal</w:t>
            </w:r>
            <w:proofErr w:type="spellEnd"/>
            <w:r w:rsidRPr="00E60291">
              <w:rPr>
                <w:rFonts w:ascii="Arial" w:hAnsi="Arial" w:cs="Arial"/>
              </w:rPr>
              <w:t>) mutations are ignored; incidence age reduced</w:t>
            </w:r>
          </w:p>
        </w:tc>
        <w:tc>
          <w:tcPr>
            <w:tcW w:w="824" w:type="dxa"/>
            <w:vAlign w:val="center"/>
            <w:hideMark/>
          </w:tcPr>
          <w:p w14:paraId="0EB4DEF2"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{"citationItems":[{"id":"ITEM-1","itemData":{"DOI":"10.1038/ng.3214","ISSN":"15461718","abstract":"What happens in early, still undetectable human malignancies is unknown because direct observations are impractical. Here we present and validate a 'Big Bang' model, whereby tumors grow predominantly as a single expansion producing numerous intermixed subclones that are not subject to stringent selection and where both public (clonal) and most detectable private (subclonal) alterations arise early during growth. Genomic profiling of 349 individual glands from 15 colorectal tumors showed an absence of selective sweeps, uniformly high intratumoral heterogeneity (ITH) and subclone mixing in distant regions, as postulated by our model. We also verified the prediction that most detectable ITH originates from early private alterations and not from later clonal expansions, thus exposing the profile of the primordial tumor. Moreover, some tumors appear 'born to be bad', with subclone mixing indicative of early malignant potential. This new model provides a quantitative framework to interpret tumor growth dynamics and the origins of ITH, with important clinical implications.","author":[{"dropping-particle":"","family":"Sottoriva","given":"Andrea","non-dropping-particle":"","parse-names":false,"suffix":""},{"dropping-particle":"","family":"Kang","given":"Haeyoun","non-dropping-particle":"","parse-names":false,"suffix":""},{"dropping-particle":"","family":"Ma","given":"Zhicheng","non-dropping-particle":"","parse-names":false,"suffix":""},{"dropping-particle":"","family":"Graham","given":"Trevor A.","non-dropping-particle":"","parse-names":false,"suffix":""},{"dropping-particle":"","family":"Salomon","given":"Matthew P.","non-dropping-particle":"","parse-names":false,"suffix":""},{"dropping-particle":"","family":"Zhao","given":"Junsong","non-dropping-particle":"","parse-names":false,"suffix":""},{"dropping-particle":"","family":"Marjoram","given":"Paul","non-dropping-particle":"","parse-names":false,"suffix":""},{"dropping-particle":"","family":"Siegmund","given":"Kimberly","non-dropping-particle":"","parse-names":false,"suffix":""},{"dropping-particle":"","family":"Press","given":"Michael F.","non-dropping-particle":"","parse-names":false,"suffix":""},{"dropping-particle":"","family":"Shibata","given":"Darryl","non-dropping-particle":"","parse-names":false,"suffix":""},{"dropping-particle":"","family":"Curtis","given":"Christina","non-dropping-particle":"","parse-names":false,"suffix":""}],"container-title":"Nature Genetics","id":"ITEM-1","issued":{"date-parts":[["2015"]]},"title":"A big bang model of human colorectal tumor growth","type":"article-journal"},"uris":["http://www.mendeley.com/documents/?uuid=f9bb4587-0ca3-4cc3-bce7-7c4360984a6e"]}],"mendeley":{"formattedCitation":"&lt;sup&gt;19&lt;/sup&gt;","plainTextFormattedCitation":"19","previouslyFormattedCitation":"&lt;sup&gt;19&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19</w:t>
            </w:r>
            <w:r w:rsidRPr="00E60291">
              <w:rPr>
                <w:rFonts w:ascii="Arial" w:hAnsi="Arial" w:cs="Arial"/>
              </w:rPr>
              <w:fldChar w:fldCharType="end"/>
            </w:r>
          </w:p>
        </w:tc>
      </w:tr>
      <w:tr w:rsidR="004A7CB4" w:rsidRPr="00E60291" w14:paraId="192D980E" w14:textId="77777777" w:rsidTr="00E60291">
        <w:trPr>
          <w:trHeight w:val="576"/>
        </w:trPr>
        <w:tc>
          <w:tcPr>
            <w:tcW w:w="3600" w:type="dxa"/>
            <w:vAlign w:val="center"/>
          </w:tcPr>
          <w:p w14:paraId="757DC240" w14:textId="77777777" w:rsidR="004A7CB4" w:rsidRPr="00E60291" w:rsidRDefault="004A7CB4" w:rsidP="00E60291">
            <w:pPr>
              <w:rPr>
                <w:rFonts w:ascii="Arial" w:hAnsi="Arial" w:cs="Arial"/>
              </w:rPr>
            </w:pPr>
            <w:r w:rsidRPr="00E60291">
              <w:rPr>
                <w:rFonts w:ascii="Arial" w:hAnsi="Arial" w:cs="Arial"/>
              </w:rPr>
              <w:t>Malignancy occurs at 1,000,000 (stem) cells</w:t>
            </w:r>
          </w:p>
        </w:tc>
        <w:tc>
          <w:tcPr>
            <w:tcW w:w="5400" w:type="dxa"/>
            <w:vAlign w:val="center"/>
          </w:tcPr>
          <w:p w14:paraId="7491F7E6" w14:textId="77777777" w:rsidR="004A7CB4" w:rsidRPr="00E60291" w:rsidRDefault="004A7CB4" w:rsidP="00E60291">
            <w:pPr>
              <w:rPr>
                <w:rFonts w:ascii="Arial" w:hAnsi="Arial" w:cs="Arial"/>
              </w:rPr>
            </w:pPr>
            <w:r w:rsidRPr="00E60291">
              <w:rPr>
                <w:rFonts w:ascii="Arial" w:hAnsi="Arial" w:cs="Arial"/>
              </w:rPr>
              <w:t>Reduced variation in cancer incidence times (as true detection times varies)</w:t>
            </w:r>
          </w:p>
        </w:tc>
        <w:tc>
          <w:tcPr>
            <w:tcW w:w="824" w:type="dxa"/>
            <w:vAlign w:val="center"/>
          </w:tcPr>
          <w:p w14:paraId="1EE02D11"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{"citationItems":[{"id":"ITEM-1","itemData":{"DOI":"10.1073/pnas.1404341111","ISBN":"1091-6490 (Electronic)\\r0027-8424 (Linking)","ISSN":"0027-8424","PMID":"25277973","abstract":"Cancer progression is an example of a rapid adaptive process where evolving new traits is essential for survival and requires a high mutation rate. Precancerous cells acquire a few key mutations that drive rapid population growth and carcinogenesis. Cancer genomics demonstrates that these few driver mutations occur alongside thousands of random passenger mutations--a natural consequence of cancer's elevated mutation rate. Some passengers are deleterious to cancer cells, yet have been largely ignored in cancer research. In population genetics, however, the accumulation of mildly deleterious mutations has been shown to cause population meltdown. Here we develop a stochastic population model where beneficial drivers engage in a tug-of-war with frequent mildly deleterious passengers. These passengers present a barrier to cancer progression describable by a critical population size, below which most lesions fail to progress, and a critical mutation rate, above which cancers melt down. We find support for this model in cancer age-incidence and cancer genomics data that also allow us to estimate the fitness advantage of drivers and fitness costs of passengers. We identify two regimes of adaptive evolutionary dynamics and use these regimes to understand successes and failures of different treatment strategies. A tumor's load of deleterious passengers can explain previously paradoxical treatment outcomes and suggest that it could potentially serve as a biomarker of response to mutagenic therapies. The collective deleterious effect of passengers is currently an unexploited therapeutic target. We discuss how their effects might be exacerbated by current and future therapies.","author":[{"dropping-particle":"","family":"McFarland","given":"Christopher D.","non-dropping-particle":"","parse-names":false,"suffix":""},{"dropping-particle":"","family":"Mirny","given":"Leonid A.","non-dropping-particle":"","parse-names":false,"suffix":""},{"dropping-particle":"","family":"Korolev","given":"Kirill S.","non-dropping-particle":"","parse-names":false,"suffix":""}],"container-title":"Proceedings of the National Academy of Sciences","id":"ITEM-1","issued":{"date-parts":[["2014"]]},"title":"Tug-of-war between driver and passenger mutations in cancer and other adaptive processes","type":"article-journal"},"uris":["http://www.mendeley.com/documents/?uuid=156c696e-9a05-4a15-a080-6e7796104fc1"]}],"mendeley":{"formattedCitation":"&lt;sup&gt;68&lt;/sup&gt;","plainTextFormattedCitation":"68","previouslyFormattedCitation":"&lt;sup&gt;68&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68</w:t>
            </w:r>
            <w:r w:rsidRPr="00E60291">
              <w:rPr>
                <w:rFonts w:ascii="Arial" w:hAnsi="Arial" w:cs="Arial"/>
              </w:rPr>
              <w:fldChar w:fldCharType="end"/>
            </w:r>
          </w:p>
        </w:tc>
      </w:tr>
      <w:tr w:rsidR="004A7CB4" w:rsidRPr="00E60291" w14:paraId="62526515" w14:textId="77777777" w:rsidTr="00E60291">
        <w:trPr>
          <w:cnfStyle w:val="000000100000" w:firstRow="0" w:lastRow="0" w:firstColumn="0" w:lastColumn="0" w:oddVBand="0" w:evenVBand="0" w:oddHBand="1" w:evenHBand="0" w:firstRowFirstColumn="0" w:firstRowLastColumn="0" w:lastRowFirstColumn="0" w:lastRowLastColumn="0"/>
          <w:trHeight w:val="576"/>
        </w:trPr>
        <w:tc>
          <w:tcPr>
            <w:tcW w:w="3600" w:type="dxa"/>
            <w:vAlign w:val="center"/>
          </w:tcPr>
          <w:p w14:paraId="052F1161" w14:textId="77777777" w:rsidR="004A7CB4" w:rsidRPr="00E60291" w:rsidRDefault="004A7CB4" w:rsidP="00E60291">
            <w:pPr>
              <w:rPr>
                <w:rFonts w:ascii="Arial" w:hAnsi="Arial" w:cs="Arial"/>
              </w:rPr>
            </w:pPr>
            <w:proofErr w:type="spellStart"/>
            <w:r w:rsidRPr="00E60291">
              <w:rPr>
                <w:rFonts w:ascii="Arial" w:hAnsi="Arial" w:cs="Arial"/>
              </w:rPr>
              <w:t>Subclonal</w:t>
            </w:r>
            <w:proofErr w:type="spellEnd"/>
            <w:r w:rsidRPr="00E60291">
              <w:rPr>
                <w:rFonts w:ascii="Arial" w:hAnsi="Arial" w:cs="Arial"/>
              </w:rPr>
              <w:t xml:space="preserve"> mutations are undetected by genotyping</w:t>
            </w:r>
          </w:p>
        </w:tc>
        <w:tc>
          <w:tcPr>
            <w:tcW w:w="5400" w:type="dxa"/>
            <w:vAlign w:val="center"/>
          </w:tcPr>
          <w:p w14:paraId="79BA63DE" w14:textId="77777777" w:rsidR="004A7CB4" w:rsidRPr="00E60291" w:rsidRDefault="004A7CB4" w:rsidP="00E60291">
            <w:pPr>
              <w:rPr>
                <w:rFonts w:ascii="Arial" w:hAnsi="Arial" w:cs="Arial"/>
              </w:rPr>
            </w:pPr>
            <w:r w:rsidRPr="00E60291">
              <w:rPr>
                <w:rFonts w:ascii="Arial" w:hAnsi="Arial" w:cs="Arial"/>
              </w:rPr>
              <w:t>Lower estimated fitness effects of drivers &amp; passengers (</w:t>
            </w:r>
            <w:proofErr w:type="spellStart"/>
            <w:r w:rsidRPr="00E60291">
              <w:rPr>
                <w:rFonts w:ascii="Arial" w:hAnsi="Arial" w:cs="Arial"/>
              </w:rPr>
              <w:t>subclonal</w:t>
            </w:r>
            <w:proofErr w:type="spellEnd"/>
            <w:r w:rsidRPr="00E60291">
              <w:rPr>
                <w:rFonts w:ascii="Arial" w:hAnsi="Arial" w:cs="Arial"/>
              </w:rPr>
              <w:t xml:space="preserve"> mutations experience less selection)</w:t>
            </w:r>
          </w:p>
        </w:tc>
        <w:tc>
          <w:tcPr>
            <w:tcW w:w="824" w:type="dxa"/>
            <w:vAlign w:val="center"/>
          </w:tcPr>
          <w:p w14:paraId="7E962D3C"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{"citationItems":[{"id":"ITEM-1","itemData":{"ISBN":"0016-6731 (Print)","ISSN":"0016-6731","PMID":"10835411","abstract":"Associations between selected alleles and the genetic backgrounds on which they are found can reduce the efficacy of selection. We consider the extent to which such interference, known as the Hill-Robertson effect, acting between weakly selected alleles, can restrict molecular adaptation and affect patterns of polymorphism and divergence. In particular, we focus on synonymous-site mutations, considering the fate of novel variants in a two-locus model and the equilibrium effects of interference with multiple loci and reversible mutation. We find that weak selection Hill-Robertson (wsHR) interference can considerably reduce adaptation, e.g., codon bias, and, to a lesser extent, levels of polymorphism, particularly in regions of low recombination. Interference causes the frequency distribution of segregating sites to resemble that expected from more weakly selected mutations and also generates specific patterns of linkage disequilibrium. While the selection coefficients involved are small, the fitness consequences of wsHR interference across the genome can be considerable. We suggest that wsHR interference is an important force in the evolution of nonrecombining genomes and may explain the unexpected constancy of codon bias across species of very different census population sizes, as well as several unusual features of codon usage in Drosophila.","author":[{"dropping-particle":"","family":"McVean","given":"G A","non-dropping-particle":"","parse-names":false,"suffix":""},{"dropping-particle":"","family":"Charlesworth","given":"Brian","non-dropping-particle":"","parse-names":false,"suffix":""}],"container-title":"Genetics","id":"ITEM-1","issue":"2","issued":{"date-parts":[["2000","6"]]},"page":"929-44","title":"The effects of Hill-Robertson interference between weakly selected mutations on patterns of molecular evolution and variation.","type":"article-journal","volume":"155"},"uris":["http://www.mendeley.com/documents/?uuid=8ad35c03-7c47-44e9-88b1-42130d89070b","http://www.mendeley.com/documents/?uuid=58b1b306-96a9-42e3-a3d7-0e627bf605f6"]}],"mendeley":{"formattedCitation":"&lt;sup&gt;87&lt;/sup&gt;","plainTextFormattedCitation":"87","previouslyFormattedCitation":"&lt;sup&gt;85&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87</w:t>
            </w:r>
            <w:r w:rsidRPr="00E60291">
              <w:rPr>
                <w:rFonts w:ascii="Arial" w:hAnsi="Arial" w:cs="Arial"/>
              </w:rPr>
              <w:fldChar w:fldCharType="end"/>
            </w:r>
          </w:p>
        </w:tc>
      </w:tr>
      <w:tr w:rsidR="004A7CB4" w:rsidRPr="00E60291" w14:paraId="47F8CF46" w14:textId="77777777" w:rsidTr="00E60291">
        <w:trPr>
          <w:trHeight w:val="576"/>
        </w:trPr>
        <w:tc>
          <w:tcPr>
            <w:tcW w:w="3600" w:type="dxa"/>
            <w:vAlign w:val="center"/>
          </w:tcPr>
          <w:p w14:paraId="0DFCD470" w14:textId="77777777" w:rsidR="004A7CB4" w:rsidRPr="00E60291" w:rsidRDefault="004A7CB4" w:rsidP="00E60291">
            <w:pPr>
              <w:rPr>
                <w:rFonts w:ascii="Arial" w:hAnsi="Arial" w:cs="Arial"/>
              </w:rPr>
            </w:pPr>
            <w:r w:rsidRPr="00E60291">
              <w:rPr>
                <w:rFonts w:ascii="Arial" w:hAnsi="Arial" w:cs="Arial"/>
              </w:rPr>
              <w:t>No dominance</w:t>
            </w:r>
          </w:p>
        </w:tc>
        <w:tc>
          <w:tcPr>
            <w:tcW w:w="5400" w:type="dxa"/>
            <w:vAlign w:val="center"/>
          </w:tcPr>
          <w:p w14:paraId="376E7F31" w14:textId="77777777" w:rsidR="004A7CB4" w:rsidRPr="00E60291" w:rsidRDefault="004A7CB4" w:rsidP="00E60291">
            <w:pPr>
              <w:rPr>
                <w:rFonts w:ascii="Arial" w:hAnsi="Arial" w:cs="Arial"/>
              </w:rPr>
            </w:pPr>
            <w:r w:rsidRPr="00E60291">
              <w:rPr>
                <w:rFonts w:ascii="Arial" w:hAnsi="Arial" w:cs="Arial"/>
              </w:rPr>
              <w:t xml:space="preserve">Nearly-unbiased estimate of heterozygous passenger fitness cost; underestimation of driver benefit </w:t>
            </w:r>
          </w:p>
        </w:tc>
        <w:tc>
          <w:tcPr>
            <w:tcW w:w="824" w:type="dxa"/>
            <w:vAlign w:val="center"/>
          </w:tcPr>
          <w:p w14:paraId="25123E9D" w14:textId="77777777" w:rsidR="004A7CB4" w:rsidRPr="00E60291" w:rsidRDefault="004A7CB4" w:rsidP="00E60291">
            <w:pPr>
              <w:jc w:val="center"/>
              <w:rPr>
                <w:rFonts w:ascii="Arial" w:hAnsi="Arial" w:cs="Arial"/>
              </w:rPr>
            </w:pPr>
            <w:r w:rsidRPr="00E60291">
              <w:rPr>
                <w:rFonts w:ascii="Arial" w:hAnsi="Arial" w:cs="Arial"/>
              </w:rPr>
              <w:fldChar w:fldCharType="begin" w:fldLock="1"/>
            </w:r>
            <w:r w:rsidRPr="00E60291">
              <w:rPr>
                <w:rFonts w:ascii="Arial" w:hAnsi="Arial" w:cs="Arial"/>
              </w:rPr>
              <w:instrText>ADDIN CSL_CITATION {"citationItems":[{"id":"ITEM-1","itemData":{"ISSN":"0016-6731","PMID":"12807795","abstract":"New alleles arising in a population by mutation ultimately are either fixed or lost. Either is possible, for both beneficial and deleterious alleles, because of stochastic changes in allele frequency due to genetic drift. Spatially structured populations differ from unstructured populations in the probability of fixation and the time that this fixation takes. Previous results have generally made many assumptions: that all demes contribute to the next generation in exact proportion to their current sizes, that new mutations are beneficial, and that new alleles have additive effects. In this article these assumptions are relaxed, allowing for an arbitrary distribution among demes of reproductive success, both beneficial and deleterious effects, and arbitrary dominance. The effects of population structure can be expressed with two summary statistics: the effective population size and a variant of Wright's F(ST). In general, the probability of fixation is strongly affected by population structure, as is the expected time to fixation or loss. Population structure changes the effective size of the species, often strongly downward; smaller effective size increases the probability of fixing deleterious alleles and decreases the probability of fixing beneficial alleles. On the other hand, population structure causes an increase in the homozygosity of alleles, which increases the probability of fixing beneficial alleles but somewhat decreases the probability of fixing deleterious alleles. The probability of fixing new beneficial alleles can be simply described by 2hs(1 - F(ST))N(e)/N(tot), where hs is the change in fitness of heterozygotes relative to the ancestral homozygote, F(ST) is a weighted version of Wright's measure of population subdivision, and N(e) and N(tot) are the effective and census sizes, respectively. These results are verified by simulation for a broad range of population structures, including the island model, the stepping-stone model, and a model with extinction and recolonization.","author":[{"dropping-particle":"","family":"Whitlock","given":"Michael C","non-dropping-particle":"","parse-names":false,"suffix":""}],"container-title":"Genetics","id":"ITEM-1","issue":"2","issued":{"date-parts":[["2003","6"]]},"page":"767-79","title":"Fixation probability and time in subdivided populations.","type":"article-journal","volume":"164"},"uris":["http://www.mendeley.com/documents/?uuid=31ccef5a-d9d0-452a-b025-f5ec02e8b3bc","http://www.mendeley.com/documents/?uuid=20b3688b-455b-4faa-9dd7-3c746aeac693"]}],"mendeley":{"formattedCitation":"&lt;sup&gt;88&lt;/sup&gt;","plainTextFormattedCitation":"88","previouslyFormattedCitation":"&lt;sup&gt;86&lt;/sup&gt;"},"properties":{"noteIndex":0},"schema":"https://github.com/citation-style-language/schema/raw/master/csl-citation.json"}</w:instrText>
            </w:r>
            <w:r w:rsidRPr="00E60291">
              <w:rPr>
                <w:rFonts w:ascii="Arial" w:hAnsi="Arial" w:cs="Arial"/>
              </w:rPr>
              <w:fldChar w:fldCharType="separate"/>
            </w:r>
            <w:r w:rsidRPr="00E60291">
              <w:rPr>
                <w:rFonts w:ascii="Arial" w:hAnsi="Arial" w:cs="Arial"/>
                <w:noProof/>
                <w:vertAlign w:val="superscript"/>
              </w:rPr>
              <w:t>88</w:t>
            </w:r>
            <w:r w:rsidRPr="00E60291">
              <w:rPr>
                <w:rFonts w:ascii="Arial" w:hAnsi="Arial" w:cs="Arial"/>
              </w:rPr>
              <w:fldChar w:fldCharType="end"/>
            </w:r>
          </w:p>
        </w:tc>
      </w:tr>
    </w:tbl>
    <w:p w14:paraId="2F3479C9" w14:textId="6E220E1A" w:rsidR="004A7CB4" w:rsidRDefault="004A7CB4" w:rsidP="004A7CB4">
      <w:pPr>
        <w:rPr>
          <w:rFonts w:ascii="Arial" w:hAnsi="Arial" w:cs="Arial"/>
          <w:b/>
        </w:rPr>
      </w:pPr>
    </w:p>
    <w:p w14:paraId="2B83EA57" w14:textId="07DF419B" w:rsidR="004A7CB4" w:rsidRPr="001A752A" w:rsidRDefault="004A7CB4" w:rsidP="004A7CB4">
      <w:pPr>
        <w:rPr>
          <w:rFonts w:ascii="Arial" w:hAnsi="Arial" w:cs="Arial"/>
          <w:b/>
        </w:rPr>
      </w:pPr>
      <w:r>
        <w:rPr>
          <w:rFonts w:ascii="Arial" w:hAnsi="Arial" w:cs="Arial"/>
          <w:b/>
        </w:rPr>
        <w:t xml:space="preserve">Supplementary File 1. </w:t>
      </w:r>
      <w:r w:rsidRPr="004A7CB4">
        <w:rPr>
          <w:rFonts w:ascii="Arial" w:hAnsi="Arial" w:cs="Arial"/>
          <w:b/>
          <w:bCs/>
        </w:rPr>
        <w:t>Assumptions of model of tumor evolution and anticipated effects</w:t>
      </w:r>
      <w:r w:rsidRPr="004A7CB4">
        <w:rPr>
          <w:rFonts w:ascii="Arial" w:hAnsi="Arial" w:cs="Arial"/>
          <w:b/>
          <w:bCs/>
        </w:rPr>
        <w:t>.</w:t>
      </w:r>
    </w:p>
    <w:p w14:paraId="4B0F8A16" w14:textId="77777777" w:rsidR="0081561E" w:rsidRPr="004A7CB4" w:rsidRDefault="0081561E" w:rsidP="004A7CB4"/>
    <w:sectPr w:rsidR="0081561E" w:rsidRPr="004A7CB4" w:rsidSect="009E6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CB4"/>
    <w:rsid w:val="004A7CB4"/>
    <w:rsid w:val="0081561E"/>
    <w:rsid w:val="009E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41352C"/>
  <w15:chartTrackingRefBased/>
  <w15:docId w15:val="{A96AA799-8F40-1C4D-A3CC-6A47C9879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CB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4A7CB4"/>
    <w:rPr>
      <w:rFonts w:ascii="Arial" w:eastAsia="Calibri" w:hAnsi="Arial" w:cs="Arial"/>
      <w:color w:val="000000"/>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5008</Words>
  <Characters>28549</Characters>
  <Application>Microsoft Office Word</Application>
  <DocSecurity>0</DocSecurity>
  <Lines>237</Lines>
  <Paragraphs>66</Paragraphs>
  <ScaleCrop>false</ScaleCrop>
  <Company/>
  <LinksUpToDate>false</LinksUpToDate>
  <CharactersWithSpaces>33491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Tilk</dc:creator>
  <cp:keywords/>
  <dc:description/>
  <cp:lastModifiedBy>Susanne Tilk</cp:lastModifiedBy>
  <cp:revision>1</cp:revision>
  <dcterms:created xsi:type="dcterms:W3CDTF">2022-08-19T16:49:00Z</dcterms:created>
  <dcterms:modified xsi:type="dcterms:W3CDTF">2022-08-19T16:50:00Z</dcterms:modified>
</cp:coreProperties>
</file>