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9C2B" w14:textId="77777777" w:rsidR="0036008D" w:rsidRPr="00F35232" w:rsidRDefault="0036008D" w:rsidP="0036008D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F35232">
        <w:rPr>
          <w:rFonts w:ascii="Arial" w:hAnsi="Arial" w:cs="Arial"/>
          <w:b/>
          <w:color w:val="000000" w:themeColor="text1"/>
        </w:rPr>
        <w:t xml:space="preserve">Supplementary Table 7 – Comparison of phenotypic and genotypic AMR profiles of 136 (n=128 H58, n=8 Non-H58) high quality </w:t>
      </w:r>
      <w:r w:rsidRPr="00F35232">
        <w:rPr>
          <w:rFonts w:ascii="Arial" w:hAnsi="Arial" w:cs="Arial"/>
          <w:b/>
          <w:i/>
          <w:iCs/>
          <w:color w:val="000000" w:themeColor="text1"/>
        </w:rPr>
        <w:t xml:space="preserve">S. </w:t>
      </w:r>
      <w:r w:rsidRPr="00F35232">
        <w:rPr>
          <w:rFonts w:ascii="Arial" w:hAnsi="Arial" w:cs="Arial"/>
          <w:b/>
          <w:color w:val="000000" w:themeColor="text1"/>
        </w:rPr>
        <w:t xml:space="preserve">Typhi genome sequences 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851"/>
        <w:gridCol w:w="1134"/>
        <w:gridCol w:w="992"/>
        <w:gridCol w:w="1134"/>
        <w:gridCol w:w="1134"/>
        <w:gridCol w:w="1134"/>
        <w:gridCol w:w="1134"/>
      </w:tblGrid>
      <w:tr w:rsidR="0036008D" w:rsidRPr="00A17964" w14:paraId="5C8C89FC" w14:textId="77777777" w:rsidTr="00F35232">
        <w:trPr>
          <w:cantSplit/>
          <w:trHeight w:val="1134"/>
        </w:trPr>
        <w:tc>
          <w:tcPr>
            <w:tcW w:w="1413" w:type="dxa"/>
            <w:shd w:val="clear" w:color="auto" w:fill="auto"/>
            <w:noWrap/>
            <w:hideMark/>
          </w:tcPr>
          <w:p w14:paraId="4D7FE0E8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proofErr w:type="spellStart"/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Drug_class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DE40277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Resistant phenotype*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F756E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Resistant genotype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88F3DF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Very major error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00960A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Susceptible phenotype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88EA5B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Susceptible genotype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936E0B" w14:textId="77777777" w:rsidR="0036008D" w:rsidRPr="00F35232" w:rsidRDefault="0036008D" w:rsidP="00F35232">
            <w:pPr>
              <w:ind w:right="18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Major error </w:t>
            </w:r>
          </w:p>
        </w:tc>
        <w:tc>
          <w:tcPr>
            <w:tcW w:w="1134" w:type="dxa"/>
          </w:tcPr>
          <w:p w14:paraId="03F14C54" w14:textId="77777777" w:rsidR="0036008D" w:rsidRPr="00F35232" w:rsidRDefault="0036008D" w:rsidP="00F35232">
            <w:pPr>
              <w:ind w:right="18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Sensitivity</w:t>
            </w:r>
          </w:p>
        </w:tc>
        <w:tc>
          <w:tcPr>
            <w:tcW w:w="1134" w:type="dxa"/>
          </w:tcPr>
          <w:p w14:paraId="5B09EC0F" w14:textId="77777777" w:rsidR="0036008D" w:rsidRPr="00F35232" w:rsidRDefault="0036008D" w:rsidP="00F35232">
            <w:pPr>
              <w:ind w:right="18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Specificity</w:t>
            </w:r>
          </w:p>
        </w:tc>
        <w:tc>
          <w:tcPr>
            <w:tcW w:w="1134" w:type="dxa"/>
          </w:tcPr>
          <w:p w14:paraId="26B1E879" w14:textId="77777777" w:rsidR="0036008D" w:rsidRPr="00F35232" w:rsidRDefault="0036008D" w:rsidP="00F35232">
            <w:pPr>
              <w:ind w:right="18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PPV</w:t>
            </w:r>
          </w:p>
        </w:tc>
        <w:tc>
          <w:tcPr>
            <w:tcW w:w="1134" w:type="dxa"/>
          </w:tcPr>
          <w:p w14:paraId="12302873" w14:textId="77777777" w:rsidR="0036008D" w:rsidRPr="00F35232" w:rsidRDefault="0036008D" w:rsidP="00F35232">
            <w:pPr>
              <w:ind w:right="18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NPV</w:t>
            </w:r>
          </w:p>
        </w:tc>
      </w:tr>
      <w:tr w:rsidR="0036008D" w:rsidRPr="00A17964" w14:paraId="4CAF2403" w14:textId="77777777" w:rsidTr="00F35232">
        <w:trPr>
          <w:trHeight w:val="295"/>
        </w:trPr>
        <w:tc>
          <w:tcPr>
            <w:tcW w:w="9918" w:type="dxa"/>
            <w:gridSpan w:val="9"/>
            <w:shd w:val="clear" w:color="auto" w:fill="auto"/>
            <w:noWrap/>
            <w:hideMark/>
          </w:tcPr>
          <w:p w14:paraId="169669F5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Beta-lactamases</w:t>
            </w:r>
          </w:p>
        </w:tc>
        <w:tc>
          <w:tcPr>
            <w:tcW w:w="1134" w:type="dxa"/>
          </w:tcPr>
          <w:p w14:paraId="236B9494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712FAA8F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36008D" w:rsidRPr="00A17964" w14:paraId="15EE0891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76056EDD" w14:textId="77777777" w:rsidR="0036008D" w:rsidRPr="00F35232" w:rsidRDefault="0036008D" w:rsidP="00F35232">
            <w:pPr>
              <w:ind w:right="318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7B041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584D6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9E55F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 (3.7%)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4ADA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9615E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D47C3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 (5.9%)</w:t>
            </w:r>
          </w:p>
        </w:tc>
        <w:tc>
          <w:tcPr>
            <w:tcW w:w="1134" w:type="dxa"/>
          </w:tcPr>
          <w:p w14:paraId="4FAE36B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95%</w:t>
            </w:r>
          </w:p>
        </w:tc>
        <w:tc>
          <w:tcPr>
            <w:tcW w:w="1134" w:type="dxa"/>
          </w:tcPr>
          <w:p w14:paraId="6975605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77.8 %</w:t>
            </w:r>
          </w:p>
        </w:tc>
        <w:tc>
          <w:tcPr>
            <w:tcW w:w="1134" w:type="dxa"/>
          </w:tcPr>
          <w:p w14:paraId="56FF0A35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92.2%</w:t>
            </w:r>
          </w:p>
        </w:tc>
        <w:tc>
          <w:tcPr>
            <w:tcW w:w="1134" w:type="dxa"/>
          </w:tcPr>
          <w:p w14:paraId="11376A1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84.8%</w:t>
            </w:r>
          </w:p>
        </w:tc>
      </w:tr>
      <w:tr w:rsidR="0036008D" w:rsidRPr="00A17964" w14:paraId="5898509B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67CB611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Ceftazidime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894F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57608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1F1FF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(0.74%)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1A37C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DB6AB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99038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</w:tcPr>
          <w:p w14:paraId="262A571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415B2A6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617580BC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73D8A0A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99.3%</w:t>
            </w:r>
          </w:p>
        </w:tc>
      </w:tr>
      <w:tr w:rsidR="0036008D" w:rsidRPr="00A17964" w14:paraId="5AE6247F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665922A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Cefotaxime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931A11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5BB6E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845C4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 (2.9%)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D5485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51A0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056CD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</w:tcPr>
          <w:p w14:paraId="0D2E5C1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468E9C5E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681191B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05103C4E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97.1%</w:t>
            </w:r>
          </w:p>
        </w:tc>
      </w:tr>
      <w:tr w:rsidR="0036008D" w:rsidRPr="00A17964" w14:paraId="4B438104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4A1303C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8431B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735C0C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9EFECA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(0.74%)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181B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F95C5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5729F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</w:tcPr>
          <w:p w14:paraId="2FF134A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537DE1A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1F46AE9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75A4B86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99.3%</w:t>
            </w:r>
          </w:p>
        </w:tc>
      </w:tr>
      <w:tr w:rsidR="0036008D" w:rsidRPr="00A17964" w14:paraId="6676BD22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77B94D71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Cefpodoxime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CE3D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1D3EE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037D5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 (2.9%)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ED10E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AE6FF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0B49B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</w:tcPr>
          <w:p w14:paraId="60173D7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769E6F4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371FB73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</w:tcPr>
          <w:p w14:paraId="56C5345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97.1%</w:t>
            </w:r>
          </w:p>
        </w:tc>
      </w:tr>
      <w:tr w:rsidR="0036008D" w:rsidRPr="00A17964" w14:paraId="672193B4" w14:textId="77777777" w:rsidTr="00F35232">
        <w:trPr>
          <w:trHeight w:val="295"/>
        </w:trPr>
        <w:tc>
          <w:tcPr>
            <w:tcW w:w="9918" w:type="dxa"/>
            <w:gridSpan w:val="9"/>
            <w:shd w:val="clear" w:color="auto" w:fill="auto"/>
            <w:noWrap/>
            <w:hideMark/>
          </w:tcPr>
          <w:p w14:paraId="7442AA06" w14:textId="77777777" w:rsidR="0036008D" w:rsidRPr="00F35232" w:rsidRDefault="0036008D" w:rsidP="00F35232">
            <w:pPr>
              <w:ind w:right="393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Chloramphenicol</w:t>
            </w:r>
          </w:p>
        </w:tc>
        <w:tc>
          <w:tcPr>
            <w:tcW w:w="1134" w:type="dxa"/>
          </w:tcPr>
          <w:p w14:paraId="3C819EDE" w14:textId="77777777" w:rsidR="0036008D" w:rsidRPr="00F35232" w:rsidRDefault="0036008D" w:rsidP="00F35232">
            <w:pPr>
              <w:ind w:right="393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53B879B2" w14:textId="77777777" w:rsidR="0036008D" w:rsidRPr="00F35232" w:rsidRDefault="0036008D" w:rsidP="00F35232">
            <w:pPr>
              <w:ind w:right="393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36008D" w:rsidRPr="00A17964" w14:paraId="54637571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0E2C4BC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Chloramphenicol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635CD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ED9E9E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EAC63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(0.74%)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2723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A470B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85C48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 (7.4%)</w:t>
            </w:r>
          </w:p>
        </w:tc>
        <w:tc>
          <w:tcPr>
            <w:tcW w:w="1134" w:type="dxa"/>
          </w:tcPr>
          <w:p w14:paraId="14D1158F" w14:textId="77777777" w:rsidR="0036008D" w:rsidRPr="00F35232" w:rsidRDefault="0036008D" w:rsidP="00F35232">
            <w:pPr>
              <w:ind w:left="-103" w:firstLine="103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98.9%</w:t>
            </w:r>
          </w:p>
        </w:tc>
        <w:tc>
          <w:tcPr>
            <w:tcW w:w="1134" w:type="dxa"/>
          </w:tcPr>
          <w:p w14:paraId="3434D05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74.4%</w:t>
            </w:r>
          </w:p>
        </w:tc>
        <w:tc>
          <w:tcPr>
            <w:tcW w:w="1134" w:type="dxa"/>
          </w:tcPr>
          <w:p w14:paraId="692A493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89.3%</w:t>
            </w:r>
          </w:p>
        </w:tc>
        <w:tc>
          <w:tcPr>
            <w:tcW w:w="1134" w:type="dxa"/>
          </w:tcPr>
          <w:p w14:paraId="16479D1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97.0%</w:t>
            </w:r>
          </w:p>
        </w:tc>
      </w:tr>
      <w:tr w:rsidR="0036008D" w:rsidRPr="00A17964" w14:paraId="1F27670C" w14:textId="77777777" w:rsidTr="00F35232">
        <w:trPr>
          <w:trHeight w:val="295"/>
        </w:trPr>
        <w:tc>
          <w:tcPr>
            <w:tcW w:w="9918" w:type="dxa"/>
            <w:gridSpan w:val="9"/>
            <w:shd w:val="clear" w:color="auto" w:fill="auto"/>
            <w:noWrap/>
            <w:hideMark/>
          </w:tcPr>
          <w:p w14:paraId="069D5F53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Tetracyclines</w:t>
            </w:r>
          </w:p>
        </w:tc>
        <w:tc>
          <w:tcPr>
            <w:tcW w:w="1134" w:type="dxa"/>
          </w:tcPr>
          <w:p w14:paraId="5E5E9C83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6EA7319E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36008D" w:rsidRPr="00A17964" w14:paraId="3286B789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45A8F985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Tetracycline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94C1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67FF7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C0699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 (2.9%)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FE59A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3828A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7D45A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 (5.9%)</w:t>
            </w:r>
          </w:p>
        </w:tc>
        <w:tc>
          <w:tcPr>
            <w:tcW w:w="1134" w:type="dxa"/>
          </w:tcPr>
          <w:p w14:paraId="60E4B74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94.2%</w:t>
            </w:r>
          </w:p>
        </w:tc>
        <w:tc>
          <w:tcPr>
            <w:tcW w:w="1134" w:type="dxa"/>
          </w:tcPr>
          <w:p w14:paraId="4157384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88.1%</w:t>
            </w:r>
          </w:p>
        </w:tc>
        <w:tc>
          <w:tcPr>
            <w:tcW w:w="1134" w:type="dxa"/>
          </w:tcPr>
          <w:p w14:paraId="4A1767F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89.0%</w:t>
            </w:r>
          </w:p>
        </w:tc>
        <w:tc>
          <w:tcPr>
            <w:tcW w:w="1134" w:type="dxa"/>
          </w:tcPr>
          <w:p w14:paraId="7EFC5CF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93.7%</w:t>
            </w:r>
          </w:p>
        </w:tc>
      </w:tr>
      <w:tr w:rsidR="0036008D" w:rsidRPr="00A17964" w14:paraId="0AB7D2DF" w14:textId="77777777" w:rsidTr="00F35232">
        <w:trPr>
          <w:trHeight w:val="295"/>
        </w:trPr>
        <w:tc>
          <w:tcPr>
            <w:tcW w:w="9918" w:type="dxa"/>
            <w:gridSpan w:val="9"/>
            <w:shd w:val="clear" w:color="auto" w:fill="auto"/>
            <w:noWrap/>
            <w:hideMark/>
          </w:tcPr>
          <w:p w14:paraId="753BD3EA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Folate pathway inhibitors</w:t>
            </w:r>
          </w:p>
        </w:tc>
        <w:tc>
          <w:tcPr>
            <w:tcW w:w="1134" w:type="dxa"/>
          </w:tcPr>
          <w:p w14:paraId="133DAD59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402FF431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36008D" w:rsidRPr="00A17964" w14:paraId="5C9FE26B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49216B0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Co-trimoxazole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410B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D0F04C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9F94E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 (1.5%)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21827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961F4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3B257D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 (5.1%)</w:t>
            </w:r>
          </w:p>
        </w:tc>
        <w:tc>
          <w:tcPr>
            <w:tcW w:w="1134" w:type="dxa"/>
          </w:tcPr>
          <w:p w14:paraId="6B19EA8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98.0%</w:t>
            </w:r>
          </w:p>
        </w:tc>
        <w:tc>
          <w:tcPr>
            <w:tcW w:w="1134" w:type="dxa"/>
          </w:tcPr>
          <w:p w14:paraId="5C4706C5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81.6%</w:t>
            </w:r>
          </w:p>
        </w:tc>
        <w:tc>
          <w:tcPr>
            <w:tcW w:w="1134" w:type="dxa"/>
          </w:tcPr>
          <w:p w14:paraId="2BDBA99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93.2%</w:t>
            </w:r>
          </w:p>
        </w:tc>
        <w:tc>
          <w:tcPr>
            <w:tcW w:w="1134" w:type="dxa"/>
          </w:tcPr>
          <w:p w14:paraId="25056FD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93.9%</w:t>
            </w:r>
          </w:p>
        </w:tc>
      </w:tr>
      <w:tr w:rsidR="0036008D" w:rsidRPr="00A17964" w14:paraId="74AD7158" w14:textId="77777777" w:rsidTr="00F35232">
        <w:trPr>
          <w:trHeight w:val="295"/>
        </w:trPr>
        <w:tc>
          <w:tcPr>
            <w:tcW w:w="9918" w:type="dxa"/>
            <w:gridSpan w:val="9"/>
            <w:shd w:val="clear" w:color="auto" w:fill="auto"/>
            <w:noWrap/>
            <w:hideMark/>
          </w:tcPr>
          <w:p w14:paraId="7CBE0ADE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Quinolones and Fluoroquinolones</w:t>
            </w:r>
          </w:p>
        </w:tc>
        <w:tc>
          <w:tcPr>
            <w:tcW w:w="1134" w:type="dxa"/>
          </w:tcPr>
          <w:p w14:paraId="21B3EB59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0E588330" w14:textId="77777777" w:rsidR="0036008D" w:rsidRPr="00F35232" w:rsidRDefault="0036008D" w:rsidP="00F3523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36008D" w:rsidRPr="00A17964" w14:paraId="1BA54B32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3CE243EA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54471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82A73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C1699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 (5.9%)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CFB1C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3A239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72FC3E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32 (23.5%)</w:t>
            </w:r>
          </w:p>
        </w:tc>
        <w:tc>
          <w:tcPr>
            <w:tcW w:w="1134" w:type="dxa"/>
          </w:tcPr>
          <w:p w14:paraId="2D43A174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87.3%</w:t>
            </w:r>
          </w:p>
        </w:tc>
        <w:tc>
          <w:tcPr>
            <w:tcW w:w="1134" w:type="dxa"/>
          </w:tcPr>
          <w:p w14:paraId="1695AB3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56.2%</w:t>
            </w:r>
          </w:p>
        </w:tc>
        <w:tc>
          <w:tcPr>
            <w:tcW w:w="1134" w:type="dxa"/>
          </w:tcPr>
          <w:p w14:paraId="06D55EA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63.2%</w:t>
            </w:r>
          </w:p>
        </w:tc>
        <w:tc>
          <w:tcPr>
            <w:tcW w:w="1134" w:type="dxa"/>
          </w:tcPr>
          <w:p w14:paraId="429CFD11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63.2%</w:t>
            </w:r>
          </w:p>
        </w:tc>
      </w:tr>
      <w:tr w:rsidR="0036008D" w:rsidRPr="00A17964" w14:paraId="7D632814" w14:textId="77777777" w:rsidTr="00F35232">
        <w:trPr>
          <w:trHeight w:val="295"/>
        </w:trPr>
        <w:tc>
          <w:tcPr>
            <w:tcW w:w="1413" w:type="dxa"/>
            <w:shd w:val="clear" w:color="auto" w:fill="auto"/>
            <w:noWrap/>
            <w:hideMark/>
          </w:tcPr>
          <w:p w14:paraId="2F4284B9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Nalidixic acid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EA729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3AEC57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898526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44 (32.4%)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5B77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1CB7C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C271A8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</w:tcPr>
          <w:p w14:paraId="658F0E40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32.3%</w:t>
            </w:r>
          </w:p>
        </w:tc>
        <w:tc>
          <w:tcPr>
            <w:tcW w:w="1134" w:type="dxa"/>
          </w:tcPr>
          <w:p w14:paraId="3C228D62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1496C42B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1134" w:type="dxa"/>
          </w:tcPr>
          <w:p w14:paraId="76F057BF" w14:textId="77777777" w:rsidR="0036008D" w:rsidRPr="00F35232" w:rsidRDefault="0036008D" w:rsidP="00F35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3523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61.7%</w:t>
            </w:r>
          </w:p>
        </w:tc>
      </w:tr>
    </w:tbl>
    <w:p w14:paraId="60058478" w14:textId="77777777" w:rsidR="0036008D" w:rsidRPr="00F35232" w:rsidRDefault="0036008D" w:rsidP="0036008D">
      <w:pPr>
        <w:rPr>
          <w:bCs/>
          <w:color w:val="000000" w:themeColor="text1"/>
        </w:rPr>
      </w:pPr>
      <w:r w:rsidRPr="00F35232">
        <w:rPr>
          <w:bCs/>
          <w:color w:val="000000" w:themeColor="text1"/>
        </w:rPr>
        <w:t>*indicates where resistant and intermediate phenotypes have been combined as resistant</w:t>
      </w:r>
    </w:p>
    <w:p w14:paraId="4EB7DD83" w14:textId="77777777" w:rsidR="0036008D" w:rsidRPr="00F35232" w:rsidRDefault="0036008D" w:rsidP="0036008D">
      <w:pPr>
        <w:rPr>
          <w:rFonts w:ascii="Arial" w:hAnsi="Arial" w:cs="Arial"/>
          <w:color w:val="000000" w:themeColor="text1"/>
        </w:rPr>
      </w:pPr>
    </w:p>
    <w:p w14:paraId="47E9893C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8B"/>
    <w:rsid w:val="00034C8B"/>
    <w:rsid w:val="0036008D"/>
    <w:rsid w:val="003C0ADC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641F7"/>
  <w15:chartTrackingRefBased/>
  <w15:docId w15:val="{3BE9E1E2-F30B-7142-A80A-C3721B3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C8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2021-07-24T16:42:00Z</dcterms:created>
  <dcterms:modified xsi:type="dcterms:W3CDTF">2021-07-24T16:50:00Z</dcterms:modified>
</cp:coreProperties>
</file>