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1F6" w:rsidRDefault="006967B4">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rsidR="00E651F6" w:rsidRDefault="00E651F6">
      <w:pPr>
        <w:rPr>
          <w:rFonts w:asciiTheme="minorHAnsi" w:hAnsiTheme="minorHAnsi"/>
          <w:bCs/>
          <w:sz w:val="22"/>
          <w:szCs w:val="22"/>
        </w:rPr>
      </w:pPr>
    </w:p>
    <w:p w:rsidR="00E651F6" w:rsidRDefault="006967B4">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tgtFrame="_blank">
        <w:r>
          <w:rPr>
            <w:rStyle w:val="Internet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\h </w:instrText>
      </w:r>
      <w:r>
        <w:fldChar w:fldCharType="separate"/>
      </w:r>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w:t>
      </w:r>
      <w:r>
        <w:rPr>
          <w:rStyle w:val="InternetLink"/>
          <w:rFonts w:asciiTheme="minorHAnsi" w:hAnsiTheme="minorHAnsi"/>
          <w:bCs/>
          <w:sz w:val="22"/>
          <w:szCs w:val="22"/>
          <w:lang w:val="en-GB"/>
        </w:rPr>
        <w:t xml:space="preserve">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w:t>
      </w:r>
      <w:r>
        <w:rPr>
          <w:rFonts w:asciiTheme="minorHAnsi" w:hAnsiTheme="minorHAnsi"/>
          <w:bCs/>
          <w:sz w:val="22"/>
          <w:szCs w:val="22"/>
        </w:rPr>
        <w:t>dards documents in this form.</w:t>
      </w:r>
    </w:p>
    <w:p w:rsidR="00E651F6" w:rsidRDefault="00E651F6">
      <w:pPr>
        <w:rPr>
          <w:rFonts w:asciiTheme="minorHAnsi" w:hAnsiTheme="minorHAnsi"/>
          <w:bCs/>
        </w:rPr>
      </w:pPr>
    </w:p>
    <w:p w:rsidR="00E651F6" w:rsidRDefault="006967B4">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rsidR="00E651F6" w:rsidRDefault="00E651F6">
      <w:pPr>
        <w:rPr>
          <w:rFonts w:asciiTheme="minorHAnsi" w:hAnsiTheme="minorHAnsi"/>
          <w:b/>
          <w:bCs/>
          <w:color w:val="3366FF"/>
          <w:sz w:val="22"/>
          <w:szCs w:val="22"/>
        </w:rPr>
      </w:pPr>
    </w:p>
    <w:p w:rsidR="00E651F6" w:rsidRDefault="006967B4">
      <w:pPr>
        <w:rPr>
          <w:rFonts w:asciiTheme="minorHAnsi" w:hAnsiTheme="minorHAnsi"/>
          <w:sz w:val="22"/>
          <w:szCs w:val="22"/>
        </w:rPr>
      </w:pPr>
      <w:r>
        <w:rPr>
          <w:rFonts w:asciiTheme="minorHAnsi" w:hAnsiTheme="minorHAnsi"/>
          <w:b/>
          <w:bCs/>
          <w:sz w:val="22"/>
          <w:szCs w:val="22"/>
        </w:rPr>
        <w:t>Sample-size estimation</w:t>
      </w:r>
    </w:p>
    <w:p w:rsidR="00E651F6" w:rsidRDefault="006967B4">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rsidR="00E651F6" w:rsidRDefault="006967B4">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rsidR="00E651F6" w:rsidRDefault="006967B4">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rsidR="00E651F6" w:rsidRDefault="00E651F6">
      <w:pPr>
        <w:rPr>
          <w:rFonts w:asciiTheme="minorHAnsi" w:hAnsiTheme="minorHAnsi"/>
          <w:sz w:val="16"/>
          <w:szCs w:val="16"/>
          <w:lang w:val="en-GB"/>
        </w:rPr>
      </w:pPr>
    </w:p>
    <w:p w:rsidR="00E651F6" w:rsidRDefault="006967B4">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E651F6" w:rsidRDefault="00E651F6">
      <w:pPr>
        <w:rPr>
          <w:rFonts w:asciiTheme="minorHAnsi" w:hAnsiTheme="minorHAnsi"/>
          <w:sz w:val="22"/>
          <w:szCs w:val="22"/>
          <w:lang w:val="en-GB"/>
        </w:rPr>
      </w:pPr>
    </w:p>
    <w:p w:rsidR="00E651F6" w:rsidRDefault="006967B4">
      <w:pPr>
        <w:framePr w:w="7817" w:h="1868" w:hRule="exact" w:wrap="auto" w:vAnchor="text" w:hAnchor="page" w:x="1858" w:y="1"/>
        <w:rPr>
          <w:rFonts w:asciiTheme="minorHAnsi" w:hAnsiTheme="minorHAnsi"/>
          <w:b/>
          <w:bCs/>
        </w:rPr>
      </w:pPr>
      <w:r>
        <w:rPr>
          <w:rFonts w:asciiTheme="minorHAnsi" w:hAnsiTheme="minorHAnsi"/>
          <w:b/>
          <w:bCs/>
        </w:rPr>
        <w:t>We did not perform</w:t>
      </w:r>
      <w:r>
        <w:rPr>
          <w:rFonts w:asciiTheme="minorHAnsi" w:hAnsiTheme="minorHAnsi"/>
          <w:b/>
          <w:bCs/>
        </w:rPr>
        <w:t xml:space="preserve"> a power analysis to decide sample size prior to the study. We included as many samples as possible given the availability of the frozen tissue samples and budget constraints of the project. </w:t>
      </w:r>
    </w:p>
    <w:p w:rsidR="00E651F6" w:rsidRDefault="006967B4">
      <w:pPr>
        <w:framePr w:w="7817" w:h="1868" w:hRule="exact" w:wrap="auto" w:vAnchor="text" w:hAnchor="page" w:x="1858" w:y="1"/>
        <w:rPr>
          <w:rFonts w:asciiTheme="minorHAnsi" w:hAnsiTheme="minorHAnsi"/>
          <w:b/>
          <w:bCs/>
        </w:rPr>
      </w:pPr>
      <w:r>
        <w:rPr>
          <w:rFonts w:asciiTheme="minorHAnsi" w:hAnsiTheme="minorHAnsi"/>
          <w:b/>
          <w:bCs/>
        </w:rPr>
        <w:t>Information about the data collection can be found in “Materials</w:t>
      </w:r>
      <w:r>
        <w:rPr>
          <w:rFonts w:asciiTheme="minorHAnsi" w:hAnsiTheme="minorHAnsi"/>
          <w:b/>
          <w:bCs/>
        </w:rPr>
        <w:t xml:space="preserve"> and Methods”</w:t>
      </w:r>
      <w:proofErr w:type="gramStart"/>
      <w:r>
        <w:rPr>
          <w:rFonts w:asciiTheme="minorHAnsi" w:hAnsiTheme="minorHAnsi"/>
          <w:b/>
          <w:bCs/>
        </w:rPr>
        <w:t>-“</w:t>
      </w:r>
      <w:proofErr w:type="gramEnd"/>
      <w:r>
        <w:rPr>
          <w:rFonts w:asciiTheme="minorHAnsi" w:hAnsiTheme="minorHAnsi"/>
          <w:b/>
          <w:bCs/>
        </w:rPr>
        <w:t>Sample Collection” subsection.</w:t>
      </w:r>
    </w:p>
    <w:p w:rsidR="00E651F6" w:rsidRDefault="00E651F6">
      <w:pPr>
        <w:framePr w:w="7817" w:h="1868" w:hRule="exact" w:wrap="auto" w:vAnchor="text" w:hAnchor="page" w:x="1858" w:y="1"/>
        <w:rPr>
          <w:rFonts w:asciiTheme="minorHAnsi" w:hAnsiTheme="minorHAnsi"/>
        </w:rPr>
      </w:pPr>
    </w:p>
    <w:p w:rsidR="00E651F6" w:rsidRDefault="006967B4">
      <w:pPr>
        <w:rPr>
          <w:rFonts w:asciiTheme="minorHAnsi" w:hAnsiTheme="minorHAnsi"/>
          <w:sz w:val="22"/>
          <w:szCs w:val="22"/>
        </w:rPr>
      </w:pPr>
      <w:r>
        <w:rPr>
          <w:rFonts w:asciiTheme="minorHAnsi" w:hAnsiTheme="minorHAnsi"/>
          <w:b/>
          <w:bCs/>
          <w:sz w:val="22"/>
          <w:szCs w:val="22"/>
        </w:rPr>
        <w:t>Replicates</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w:t>
      </w:r>
      <w:r>
        <w:rPr>
          <w:rFonts w:asciiTheme="minorHAnsi" w:hAnsiTheme="minorHAnsi"/>
          <w:sz w:val="22"/>
          <w:szCs w:val="22"/>
        </w:rPr>
        <w:t>hould be provided to indicate the number of independent biological and/or technical replicates</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rsidR="00E651F6" w:rsidRDefault="006967B4">
      <w:pPr>
        <w:pStyle w:val="ListParagraph"/>
        <w:numPr>
          <w:ilvl w:val="0"/>
          <w:numId w:val="1"/>
        </w:numPr>
        <w:rPr>
          <w:rFonts w:asciiTheme="minorHAnsi" w:hAnsiTheme="minorHAnsi"/>
          <w:sz w:val="22"/>
          <w:szCs w:val="22"/>
        </w:rPr>
      </w:pPr>
      <w:r>
        <w:rPr>
          <w:rFonts w:asciiTheme="minorHAnsi" w:hAnsiTheme="minorHAnsi"/>
          <w:sz w:val="22"/>
          <w:szCs w:val="22"/>
        </w:rPr>
        <w:t>High-throughput seq</w:t>
      </w:r>
      <w:r>
        <w:rPr>
          <w:rFonts w:asciiTheme="minorHAnsi" w:hAnsiTheme="minorHAnsi"/>
          <w:sz w:val="22"/>
          <w:szCs w:val="22"/>
        </w:rPr>
        <w:t xml:space="preserve">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rsidR="00E651F6" w:rsidRDefault="00E651F6">
      <w:pPr>
        <w:rPr>
          <w:rFonts w:asciiTheme="minorHAnsi" w:hAnsiTheme="minorHAnsi"/>
          <w:sz w:val="16"/>
          <w:szCs w:val="16"/>
        </w:rPr>
      </w:pPr>
    </w:p>
    <w:p w:rsidR="00E651F6" w:rsidRDefault="006967B4">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w:t>
      </w:r>
      <w:r>
        <w:rPr>
          <w:rFonts w:asciiTheme="minorHAnsi" w:hAnsiTheme="minorHAnsi"/>
          <w:sz w:val="22"/>
          <w:szCs w:val="22"/>
          <w:lang w:val="en-GB"/>
        </w:rPr>
        <w:t>r explain why this information doesn’t apply to your submission:</w:t>
      </w:r>
    </w:p>
    <w:p w:rsidR="00E651F6" w:rsidRDefault="00E651F6">
      <w:pPr>
        <w:rPr>
          <w:rFonts w:asciiTheme="minorHAnsi" w:hAnsiTheme="minorHAnsi"/>
          <w:b/>
          <w:bCs/>
        </w:rPr>
      </w:pPr>
    </w:p>
    <w:p w:rsidR="00E651F6" w:rsidRDefault="006967B4">
      <w:pPr>
        <w:framePr w:w="7817" w:h="2454" w:hRule="exact" w:wrap="auto" w:vAnchor="text" w:hAnchor="page" w:x="1858" w:y="1"/>
        <w:rPr>
          <w:rFonts w:asciiTheme="minorHAnsi" w:hAnsiTheme="minorHAnsi"/>
        </w:rPr>
      </w:pPr>
      <w:r>
        <w:rPr>
          <w:rFonts w:asciiTheme="minorHAnsi" w:hAnsiTheme="minorHAnsi"/>
          <w:b/>
          <w:bCs/>
        </w:rPr>
        <w:lastRenderedPageBreak/>
        <w:t xml:space="preserve">RNA sequencing experiments were performed once per tissue sample. </w:t>
      </w:r>
      <w:r>
        <w:rPr>
          <w:rFonts w:asciiTheme="minorHAnsi" w:hAnsiTheme="minorHAnsi"/>
          <w:b/>
          <w:bCs/>
        </w:rPr>
        <w:t>We generated sequencing libraries from four tissues of each individual mouse, regarded as biological replicates. We accounted for dependence among tissues of the same mouse throughout the analysis. This information can be found where relevant for each stat</w:t>
      </w:r>
      <w:r>
        <w:rPr>
          <w:rFonts w:asciiTheme="minorHAnsi" w:hAnsiTheme="minorHAnsi"/>
          <w:b/>
          <w:bCs/>
        </w:rPr>
        <w:t>istical method in the “Materials and Methods”. We did not include technical replicates. All data (raw and processed) have been deposited in the NCBI-GEO database with the accession code: GSE167665</w:t>
      </w:r>
    </w:p>
    <w:p w:rsidR="00E651F6" w:rsidRDefault="006967B4">
      <w:pPr>
        <w:rPr>
          <w:rFonts w:asciiTheme="minorHAnsi" w:hAnsiTheme="minorHAnsi"/>
          <w:b/>
          <w:bCs/>
        </w:rPr>
      </w:pPr>
      <w:r>
        <w:br w:type="page"/>
      </w:r>
    </w:p>
    <w:p w:rsidR="00E651F6" w:rsidRDefault="006967B4">
      <w:pPr>
        <w:rPr>
          <w:rFonts w:asciiTheme="minorHAnsi" w:hAnsiTheme="minorHAnsi"/>
          <w:sz w:val="22"/>
          <w:szCs w:val="22"/>
        </w:rPr>
      </w:pPr>
      <w:r>
        <w:rPr>
          <w:rFonts w:asciiTheme="minorHAnsi" w:hAnsiTheme="minorHAnsi"/>
          <w:b/>
          <w:bCs/>
          <w:sz w:val="22"/>
          <w:szCs w:val="22"/>
        </w:rPr>
        <w:lastRenderedPageBreak/>
        <w:t>Statistical reporting</w:t>
      </w:r>
    </w:p>
    <w:p w:rsidR="00E651F6" w:rsidRDefault="006967B4">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w:t>
      </w:r>
      <w:r>
        <w:rPr>
          <w:rFonts w:asciiTheme="minorHAnsi" w:hAnsiTheme="minorHAnsi"/>
          <w:sz w:val="22"/>
          <w:szCs w:val="22"/>
        </w:rPr>
        <w:t xml:space="preserve"> be described and justified</w:t>
      </w:r>
    </w:p>
    <w:p w:rsidR="00E651F6" w:rsidRDefault="006967B4">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rsidR="00E651F6" w:rsidRDefault="006967B4">
      <w:pPr>
        <w:pStyle w:val="ListParagraph"/>
        <w:numPr>
          <w:ilvl w:val="0"/>
          <w:numId w:val="2"/>
        </w:numPr>
        <w:rPr>
          <w:rFonts w:asciiTheme="minorHAnsi" w:hAnsiTheme="minorHAnsi"/>
          <w:sz w:val="22"/>
          <w:szCs w:val="22"/>
          <w:lang w:val="en-GB"/>
        </w:rPr>
      </w:pPr>
      <w:r>
        <w:rPr>
          <w:rFonts w:asciiTheme="minorHAnsi" w:hAnsiTheme="minorHAnsi"/>
          <w:sz w:val="22"/>
          <w:szCs w:val="22"/>
        </w:rPr>
        <w:t>For each experiment, you should identify the statistical tests used, exact values of N, definitions of center, me</w:t>
      </w:r>
      <w:r>
        <w:rPr>
          <w:rFonts w:asciiTheme="minorHAnsi" w:hAnsiTheme="minorHAnsi"/>
          <w:sz w:val="22"/>
          <w:szCs w:val="22"/>
        </w:rPr>
        <w:t xml:space="preserv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rsidR="00E651F6" w:rsidRDefault="006967B4">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w:t>
      </w:r>
      <w:r>
        <w:rPr>
          <w:rFonts w:asciiTheme="minorHAnsi" w:hAnsiTheme="minorHAnsi"/>
          <w:sz w:val="22"/>
          <w:szCs w:val="22"/>
        </w:rPr>
        <w:t>ible alongside the summary statistics and 95% confidence intervals. These should be reported for all key questions and not only when the p-value is less than 0.05.</w:t>
      </w:r>
    </w:p>
    <w:p w:rsidR="00E651F6" w:rsidRDefault="00E651F6">
      <w:pPr>
        <w:rPr>
          <w:rFonts w:asciiTheme="minorHAnsi" w:hAnsiTheme="minorHAnsi"/>
          <w:sz w:val="16"/>
          <w:szCs w:val="16"/>
          <w:lang w:val="en-GB"/>
        </w:rPr>
      </w:pPr>
    </w:p>
    <w:p w:rsidR="00E651F6" w:rsidRDefault="006967B4">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w:t>
      </w:r>
      <w:r>
        <w:rPr>
          <w:rFonts w:asciiTheme="minorHAnsi" w:hAnsiTheme="minorHAnsi"/>
          <w:sz w:val="22"/>
          <w:szCs w:val="22"/>
          <w:lang w:val="en-GB"/>
        </w:rPr>
        <w:t xml:space="preserve"> figure legends), or explain why this information doesn’t apply to your submission:</w:t>
      </w:r>
    </w:p>
    <w:p w:rsidR="00E651F6" w:rsidRDefault="00E651F6">
      <w:pPr>
        <w:rPr>
          <w:rFonts w:asciiTheme="minorHAnsi" w:hAnsiTheme="minorHAnsi"/>
          <w:bCs/>
          <w:sz w:val="22"/>
          <w:szCs w:val="22"/>
        </w:rPr>
      </w:pPr>
    </w:p>
    <w:p w:rsidR="00E651F6" w:rsidRDefault="006967B4">
      <w:pPr>
        <w:framePr w:w="7817" w:h="1724" w:hRule="exact" w:wrap="auto" w:vAnchor="text" w:hAnchor="page" w:x="1904" w:y="21"/>
        <w:rPr>
          <w:rFonts w:asciiTheme="minorHAnsi" w:hAnsiTheme="minorHAnsi"/>
          <w:b/>
          <w:bCs/>
          <w:sz w:val="22"/>
          <w:szCs w:val="22"/>
        </w:rPr>
      </w:pPr>
      <w:r>
        <w:rPr>
          <w:rFonts w:asciiTheme="minorHAnsi" w:hAnsiTheme="minorHAnsi"/>
          <w:b/>
          <w:bCs/>
          <w:sz w:val="22"/>
          <w:szCs w:val="22"/>
        </w:rPr>
        <w:t>Statistical methods are explained in detail in the “Materials and Methods”. Each method relevant to a statistical analysis is given in different subsections and/or sub-sub</w:t>
      </w:r>
      <w:r>
        <w:rPr>
          <w:rFonts w:asciiTheme="minorHAnsi" w:hAnsiTheme="minorHAnsi"/>
          <w:b/>
          <w:bCs/>
          <w:sz w:val="22"/>
          <w:szCs w:val="22"/>
        </w:rPr>
        <w:t>sections so that each analysis pipeline can be followed easily. Values of N, centers, multiple testing correction, coefficient of variation, Spearman correlations etc. are presented throughout the “Results” and/or figure legends. If these data are unwieldy</w:t>
      </w:r>
      <w:r>
        <w:rPr>
          <w:rFonts w:asciiTheme="minorHAnsi" w:hAnsiTheme="minorHAnsi"/>
          <w:b/>
          <w:bCs/>
          <w:sz w:val="22"/>
          <w:szCs w:val="22"/>
        </w:rPr>
        <w:t xml:space="preserve"> to be written in the main text, they are presented in “Source data” files.</w:t>
      </w:r>
    </w:p>
    <w:p w:rsidR="00E651F6" w:rsidRDefault="006967B4">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r>
        <w:rPr>
          <w:rFonts w:asciiTheme="minorHAnsi" w:hAnsiTheme="minorHAnsi"/>
          <w:bCs/>
          <w:sz w:val="22"/>
          <w:szCs w:val="22"/>
        </w:rPr>
        <w:t>)</w:t>
      </w:r>
    </w:p>
    <w:p w:rsidR="00E651F6" w:rsidRDefault="00E651F6">
      <w:pPr>
        <w:rPr>
          <w:rFonts w:asciiTheme="minorHAnsi" w:hAnsiTheme="minorHAnsi"/>
          <w:b/>
        </w:rPr>
      </w:pPr>
    </w:p>
    <w:p w:rsidR="00E651F6" w:rsidRDefault="006967B4">
      <w:pPr>
        <w:rPr>
          <w:rFonts w:asciiTheme="minorHAnsi" w:hAnsiTheme="minorHAnsi"/>
          <w:b/>
          <w:sz w:val="22"/>
          <w:szCs w:val="22"/>
        </w:rPr>
      </w:pPr>
      <w:r>
        <w:rPr>
          <w:rFonts w:asciiTheme="minorHAnsi" w:hAnsiTheme="minorHAnsi"/>
          <w:b/>
          <w:sz w:val="22"/>
          <w:szCs w:val="22"/>
        </w:rPr>
        <w:t>Group allocation</w:t>
      </w:r>
    </w:p>
    <w:p w:rsidR="00E651F6" w:rsidRDefault="006967B4">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rsidR="00E651F6" w:rsidRDefault="006967B4">
      <w:pPr>
        <w:pStyle w:val="ListParagraph"/>
        <w:numPr>
          <w:ilvl w:val="0"/>
          <w:numId w:val="3"/>
        </w:numPr>
        <w:rPr>
          <w:rFonts w:asciiTheme="minorHAnsi" w:hAnsiTheme="minorHAnsi"/>
          <w:b/>
          <w:sz w:val="22"/>
          <w:szCs w:val="22"/>
        </w:rPr>
      </w:pPr>
      <w:r>
        <w:rPr>
          <w:rFonts w:asciiTheme="minorHAnsi" w:hAnsiTheme="minorHAnsi"/>
          <w:sz w:val="22"/>
          <w:szCs w:val="22"/>
          <w:lang w:val="en-GB"/>
        </w:rPr>
        <w:t>Indicate</w:t>
      </w:r>
      <w:r>
        <w:rPr>
          <w:rFonts w:asciiTheme="minorHAnsi" w:hAnsiTheme="minorHAnsi"/>
          <w:sz w:val="22"/>
          <w:szCs w:val="22"/>
          <w:lang w:val="en-GB"/>
        </w:rPr>
        <w:t xml:space="preserve"> if masking was used during group allocation, data collection and/or data analysis</w:t>
      </w:r>
    </w:p>
    <w:p w:rsidR="00E651F6" w:rsidRDefault="00E651F6">
      <w:pPr>
        <w:rPr>
          <w:rFonts w:asciiTheme="minorHAnsi" w:hAnsiTheme="minorHAnsi"/>
          <w:b/>
          <w:sz w:val="16"/>
          <w:szCs w:val="16"/>
        </w:rPr>
      </w:pPr>
    </w:p>
    <w:p w:rsidR="00E651F6" w:rsidRDefault="006967B4">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w:t>
      </w:r>
      <w:r>
        <w:rPr>
          <w:rFonts w:asciiTheme="minorHAnsi" w:hAnsiTheme="minorHAnsi"/>
          <w:sz w:val="22"/>
          <w:szCs w:val="22"/>
          <w:lang w:val="en-GB"/>
        </w:rPr>
        <w:t>n:</w:t>
      </w:r>
    </w:p>
    <w:p w:rsidR="00E651F6" w:rsidRDefault="00E651F6">
      <w:pPr>
        <w:rPr>
          <w:rFonts w:asciiTheme="minorHAnsi" w:hAnsiTheme="minorHAnsi"/>
          <w:b/>
        </w:rPr>
      </w:pPr>
    </w:p>
    <w:p w:rsidR="00E651F6" w:rsidRDefault="006967B4">
      <w:pPr>
        <w:framePr w:w="7817" w:h="1455" w:hRule="exact" w:wrap="auto" w:vAnchor="text" w:hAnchor="page" w:x="1904" w:y="1"/>
        <w:rPr>
          <w:rFonts w:asciiTheme="minorHAnsi" w:hAnsiTheme="minorHAnsi"/>
          <w:b/>
          <w:bCs/>
          <w:sz w:val="22"/>
          <w:szCs w:val="22"/>
        </w:rPr>
      </w:pPr>
      <w:r>
        <w:rPr>
          <w:rFonts w:asciiTheme="minorHAnsi" w:hAnsiTheme="minorHAnsi"/>
          <w:b/>
          <w:bCs/>
          <w:sz w:val="22"/>
          <w:szCs w:val="22"/>
        </w:rPr>
        <w:t xml:space="preserve">Grouping is not relevant to this study. We </w:t>
      </w:r>
      <w:proofErr w:type="spellStart"/>
      <w:r>
        <w:rPr>
          <w:rFonts w:asciiTheme="minorHAnsi" w:hAnsiTheme="minorHAnsi"/>
          <w:b/>
          <w:bCs/>
          <w:sz w:val="22"/>
          <w:szCs w:val="22"/>
        </w:rPr>
        <w:t>analysed</w:t>
      </w:r>
      <w:proofErr w:type="spellEnd"/>
      <w:r>
        <w:rPr>
          <w:rFonts w:asciiTheme="minorHAnsi" w:hAnsiTheme="minorHAnsi"/>
          <w:b/>
          <w:bCs/>
          <w:sz w:val="22"/>
          <w:szCs w:val="22"/>
        </w:rPr>
        <w:t xml:space="preserve"> age-related gene expression patterns in development and in ageing, and for each tissue, separately, or combined where relevant. Relevant information </w:t>
      </w:r>
      <w:proofErr w:type="gramStart"/>
      <w:r>
        <w:rPr>
          <w:rFonts w:asciiTheme="minorHAnsi" w:hAnsiTheme="minorHAnsi"/>
          <w:b/>
          <w:bCs/>
          <w:sz w:val="22"/>
          <w:szCs w:val="22"/>
        </w:rPr>
        <w:t>are</w:t>
      </w:r>
      <w:proofErr w:type="gramEnd"/>
      <w:r>
        <w:rPr>
          <w:rFonts w:asciiTheme="minorHAnsi" w:hAnsiTheme="minorHAnsi"/>
          <w:b/>
          <w:bCs/>
          <w:sz w:val="22"/>
          <w:szCs w:val="22"/>
        </w:rPr>
        <w:t xml:space="preserve"> presented in the “Results” and explained in the</w:t>
      </w:r>
      <w:r>
        <w:rPr>
          <w:rFonts w:asciiTheme="minorHAnsi" w:hAnsiTheme="minorHAnsi"/>
          <w:b/>
          <w:bCs/>
          <w:sz w:val="22"/>
          <w:szCs w:val="22"/>
        </w:rPr>
        <w:t xml:space="preserve"> “Materials and Methods”. Randomization and masking are not relevant to this study.</w:t>
      </w:r>
    </w:p>
    <w:p w:rsidR="00E651F6" w:rsidRDefault="006967B4">
      <w:pPr>
        <w:rPr>
          <w:rFonts w:asciiTheme="minorHAnsi" w:hAnsiTheme="minorHAnsi"/>
          <w:b/>
          <w:sz w:val="22"/>
          <w:szCs w:val="22"/>
        </w:rPr>
      </w:pPr>
      <w:r>
        <w:rPr>
          <w:rFonts w:asciiTheme="minorHAnsi" w:hAnsiTheme="minorHAnsi"/>
          <w:b/>
          <w:sz w:val="22"/>
          <w:szCs w:val="22"/>
        </w:rPr>
        <w:t>Additional data files (“source data”)</w:t>
      </w:r>
    </w:p>
    <w:p w:rsidR="00E651F6" w:rsidRDefault="006967B4">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w:t>
      </w:r>
      <w:r>
        <w:rPr>
          <w:rFonts w:asciiTheme="minorHAnsi" w:hAnsiTheme="minorHAnsi"/>
          <w:sz w:val="22"/>
          <w:szCs w:val="22"/>
        </w:rPr>
        <w:t xml:space="preserve"> summary table</w:t>
      </w:r>
    </w:p>
    <w:p w:rsidR="00E651F6" w:rsidRDefault="006967B4">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rsidR="00E651F6" w:rsidRDefault="006967B4">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rsidR="00E651F6" w:rsidRDefault="006967B4">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w:t>
      </w:r>
      <w:r>
        <w:rPr>
          <w:rFonts w:asciiTheme="minorHAnsi" w:hAnsiTheme="minorHAnsi"/>
          <w:sz w:val="22"/>
          <w:szCs w:val="22"/>
        </w:rPr>
        <w:t xml:space="preserve">analysis (e.g., R, </w:t>
      </w:r>
      <w:proofErr w:type="spellStart"/>
      <w:r>
        <w:rPr>
          <w:rFonts w:asciiTheme="minorHAnsi" w:hAnsiTheme="minorHAnsi"/>
          <w:sz w:val="22"/>
          <w:szCs w:val="22"/>
        </w:rPr>
        <w:t>MatLab</w:t>
      </w:r>
      <w:proofErr w:type="spellEnd"/>
      <w:r>
        <w:rPr>
          <w:rFonts w:asciiTheme="minorHAnsi" w:hAnsiTheme="minorHAnsi"/>
          <w:sz w:val="22"/>
          <w:szCs w:val="22"/>
        </w:rPr>
        <w:t>)</w:t>
      </w:r>
    </w:p>
    <w:p w:rsidR="00E651F6" w:rsidRDefault="006967B4">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rsidR="00E651F6" w:rsidRDefault="00E651F6">
      <w:pPr>
        <w:rPr>
          <w:rFonts w:asciiTheme="minorHAnsi" w:hAnsiTheme="minorHAnsi"/>
          <w:sz w:val="16"/>
          <w:szCs w:val="16"/>
        </w:rPr>
      </w:pPr>
    </w:p>
    <w:p w:rsidR="00E651F6" w:rsidRDefault="006967B4">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rsidR="00E651F6" w:rsidRDefault="00E651F6"/>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lastRenderedPageBreak/>
        <w:t>We included “source data” files for all figures and all figure supplements:</w:t>
      </w:r>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Figure1, Figure1-figure supplement 1-</w:t>
      </w:r>
      <w:r w:rsidR="00501A46">
        <w:rPr>
          <w:rFonts w:asciiTheme="minorHAnsi" w:hAnsiTheme="minorHAnsi"/>
          <w:b/>
          <w:bCs/>
          <w:sz w:val="22"/>
          <w:szCs w:val="22"/>
        </w:rPr>
        <w:t>15</w:t>
      </w:r>
      <w:r>
        <w:rPr>
          <w:rFonts w:asciiTheme="minorHAnsi" w:hAnsiTheme="minorHAnsi"/>
          <w:b/>
          <w:bCs/>
          <w:sz w:val="22"/>
          <w:szCs w:val="22"/>
        </w:rPr>
        <w:t>,</w:t>
      </w:r>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Figure2, Figure2-figure supplement 1-</w:t>
      </w:r>
      <w:r>
        <w:rPr>
          <w:rFonts w:asciiTheme="minorHAnsi" w:hAnsiTheme="minorHAnsi"/>
          <w:b/>
          <w:bCs/>
          <w:sz w:val="22"/>
          <w:szCs w:val="22"/>
        </w:rPr>
        <w:t>2</w:t>
      </w:r>
      <w:r w:rsidR="00501A46">
        <w:rPr>
          <w:rFonts w:asciiTheme="minorHAnsi" w:hAnsiTheme="minorHAnsi"/>
          <w:b/>
          <w:bCs/>
          <w:sz w:val="22"/>
          <w:szCs w:val="22"/>
        </w:rPr>
        <w:t>0</w:t>
      </w:r>
      <w:r>
        <w:rPr>
          <w:rFonts w:asciiTheme="minorHAnsi" w:hAnsiTheme="minorHAnsi"/>
          <w:b/>
          <w:bCs/>
          <w:sz w:val="22"/>
          <w:szCs w:val="22"/>
        </w:rPr>
        <w:t>,</w:t>
      </w:r>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Figure3,</w:t>
      </w:r>
      <w:r w:rsidR="00501A46">
        <w:rPr>
          <w:rFonts w:asciiTheme="minorHAnsi" w:hAnsiTheme="minorHAnsi"/>
          <w:b/>
          <w:bCs/>
          <w:sz w:val="22"/>
          <w:szCs w:val="22"/>
        </w:rPr>
        <w:t xml:space="preserve"> </w:t>
      </w:r>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 xml:space="preserve">Figure4, </w:t>
      </w:r>
      <w:r w:rsidR="00501A46">
        <w:rPr>
          <w:rFonts w:asciiTheme="minorHAnsi" w:hAnsiTheme="minorHAnsi"/>
          <w:b/>
          <w:bCs/>
          <w:sz w:val="22"/>
          <w:szCs w:val="22"/>
        </w:rPr>
        <w:t>Figure4-figure supplement 1-2,</w:t>
      </w:r>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Figure5, Figure5-figure supplement 1-6</w:t>
      </w:r>
    </w:p>
    <w:p w:rsidR="00E651F6" w:rsidRDefault="00E651F6">
      <w:pPr>
        <w:framePr w:w="7817" w:h="2531" w:hRule="exact" w:wrap="auto" w:vAnchor="text" w:hAnchor="page" w:x="1904" w:y="1"/>
        <w:rPr>
          <w:rFonts w:asciiTheme="minorHAnsi" w:hAnsiTheme="minorHAnsi"/>
          <w:b/>
          <w:bCs/>
          <w:sz w:val="22"/>
          <w:szCs w:val="22"/>
        </w:rPr>
      </w:pPr>
      <w:bookmarkStart w:id="0" w:name="_GoBack"/>
      <w:bookmarkEnd w:id="0"/>
    </w:p>
    <w:p w:rsidR="00E651F6" w:rsidRDefault="006967B4">
      <w:pPr>
        <w:framePr w:w="7817" w:h="2531" w:hRule="exact" w:wrap="auto" w:vAnchor="text" w:hAnchor="page" w:x="1904" w:y="1"/>
        <w:rPr>
          <w:rFonts w:asciiTheme="minorHAnsi" w:hAnsiTheme="minorHAnsi"/>
          <w:b/>
          <w:bCs/>
          <w:sz w:val="22"/>
          <w:szCs w:val="22"/>
        </w:rPr>
      </w:pPr>
      <w:r>
        <w:rPr>
          <w:rFonts w:asciiTheme="minorHAnsi" w:hAnsiTheme="minorHAnsi"/>
          <w:b/>
          <w:bCs/>
          <w:sz w:val="22"/>
          <w:szCs w:val="22"/>
        </w:rPr>
        <w:t>All the analysis can be reproduced with the publicly available code provided in “Code Availability” section (https:/</w:t>
      </w:r>
      <w:r>
        <w:rPr>
          <w:rFonts w:asciiTheme="minorHAnsi" w:hAnsiTheme="minorHAnsi"/>
          <w:b/>
          <w:bCs/>
          <w:sz w:val="22"/>
          <w:szCs w:val="22"/>
        </w:rPr>
        <w:t>/github.com/hmtzg/geneexp_mouse).</w:t>
      </w:r>
    </w:p>
    <w:sectPr w:rsidR="00E651F6">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7B4" w:rsidRDefault="006967B4">
      <w:r>
        <w:separator/>
      </w:r>
    </w:p>
  </w:endnote>
  <w:endnote w:type="continuationSeparator" w:id="0">
    <w:p w:rsidR="006967B4" w:rsidRDefault="0069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altName w:val="Segoe UI"/>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F6" w:rsidRDefault="006967B4">
    <w:pPr>
      <w:pStyle w:val="Footer"/>
      <w:tabs>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w:t>
    </w:r>
    <w:r>
      <w:rPr>
        <w:rFonts w:ascii="Arial" w:hAnsi="Arial"/>
        <w:sz w:val="16"/>
        <w:szCs w:val="16"/>
      </w:rPr>
      <w:t>er 5030732, and is registered in the UK with company number FC030576 and branch number BR015634 at the address 1st Floor, 24 Hills Road, Cambridge CB2 1JP | August 2014</w:t>
    </w:r>
    <w:r>
      <w:rPr>
        <w:noProof/>
      </w:rPr>
      <mc:AlternateContent>
        <mc:Choice Requires="wps">
          <w:drawing>
            <wp:anchor distT="0" distB="0" distL="0" distR="0" simplePos="0" relativeHeight="14" behindDoc="0" locked="0" layoutInCell="1" allowOverlap="1">
              <wp:simplePos x="0" y="0"/>
              <wp:positionH relativeFrom="page">
                <wp:posOffset>6313805</wp:posOffset>
              </wp:positionH>
              <wp:positionV relativeFrom="paragraph">
                <wp:posOffset>123825</wp:posOffset>
              </wp:positionV>
              <wp:extent cx="64770" cy="154940"/>
              <wp:effectExtent l="0" t="0" r="0" b="0"/>
              <wp:wrapSquare wrapText="largest"/>
              <wp:docPr id="2" name="Frame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rsidR="00E651F6" w:rsidRDefault="006967B4">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2</w:t>
                          </w:r>
                          <w:r>
                            <w:rPr>
                              <w:rStyle w:val="PageNumber"/>
                              <w:rFonts w:ascii="Calibri" w:hAnsi="Calibri"/>
                              <w:sz w:val="20"/>
                              <w:szCs w:val="20"/>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6" o:spid="_x0000_s1026" type="#_x0000_t202" style="position:absolute;left:0;text-align:left;margin-left:497.15pt;margin-top:9.75pt;width:5.1pt;height:12.2pt;z-index: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" stroked="f">
              <v:fill opacity="0"/>
              <v:textbox style="mso-fit-shape-to-text:t" inset="0,0,0,0">
                <w:txbxContent>
                  <w:p w:rsidR="00E651F6" w:rsidRDefault="006967B4">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2</w:t>
                    </w:r>
                    <w:r>
                      <w:rPr>
                        <w:rStyle w:val="PageNumber"/>
                        <w:rFonts w:ascii="Calibri" w:hAnsi="Calibri"/>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7B4" w:rsidRDefault="006967B4">
      <w:r>
        <w:separator/>
      </w:r>
    </w:p>
  </w:footnote>
  <w:footnote w:type="continuationSeparator" w:id="0">
    <w:p w:rsidR="006967B4" w:rsidRDefault="0069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1F6" w:rsidRDefault="006967B4">
    <w:pPr>
      <w:pStyle w:val="Header"/>
      <w:ind w:left="-1134"/>
    </w:pPr>
    <w:r>
      <w:rPr>
        <w:noProof/>
      </w:rPr>
      <w:drawing>
        <wp:inline distT="0" distB="9525" distL="0" distR="0">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2F3"/>
    <w:multiLevelType w:val="multilevel"/>
    <w:tmpl w:val="445277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E31CE4"/>
    <w:multiLevelType w:val="multilevel"/>
    <w:tmpl w:val="3BB6F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B466EE"/>
    <w:multiLevelType w:val="multilevel"/>
    <w:tmpl w:val="F4948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BA03D5"/>
    <w:multiLevelType w:val="multilevel"/>
    <w:tmpl w:val="5A46CD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A4678C9"/>
    <w:multiLevelType w:val="multilevel"/>
    <w:tmpl w:val="061846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B9E5BA7"/>
    <w:multiLevelType w:val="multilevel"/>
    <w:tmpl w:val="BC4E7E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F6"/>
    <w:rsid w:val="00477A8D"/>
    <w:rsid w:val="00501A46"/>
    <w:rsid w:val="006967B4"/>
    <w:rsid w:val="00E651F6"/>
    <w:rsid w:val="00FC62E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A8C1"/>
  <w15:docId w15:val="{DCD3A11D-4F9F-43C3-8B58-7BA42B9C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4802-A6B7-4A61-8D59-D74F1593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hamit izgi</cp:lastModifiedBy>
  <cp:revision>2</cp:revision>
  <cp:lastPrinted>2022-01-17T19:40:00Z</cp:lastPrinted>
  <dcterms:created xsi:type="dcterms:W3CDTF">2022-01-17T19:41:00Z</dcterms:created>
  <dcterms:modified xsi:type="dcterms:W3CDTF">2022-01-17T19:41:00Z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