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AF2AD" w14:textId="27FCAB22" w:rsidR="001B6C64" w:rsidRDefault="001B6C64" w:rsidP="001B6C64">
      <w:pPr>
        <w:pStyle w:val="EndNoteBibliography"/>
        <w:spacing w:after="0" w:line="276" w:lineRule="auto"/>
        <w:ind w:right="58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233DECB4" w14:textId="19AE7575" w:rsidR="001B6C64" w:rsidRDefault="001B6C64" w:rsidP="001B6C64">
      <w:pPr>
        <w:pStyle w:val="EndNoteBibliography"/>
        <w:spacing w:after="0" w:line="276" w:lineRule="auto"/>
        <w:ind w:right="58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54DCC898" w14:textId="77777777" w:rsidR="001B6C64" w:rsidRDefault="001B6C64" w:rsidP="001B6C64">
      <w:pPr>
        <w:pStyle w:val="EndNoteBibliography"/>
        <w:spacing w:after="0" w:line="276" w:lineRule="auto"/>
        <w:ind w:right="58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7FF23A9C" w14:textId="415EB893" w:rsidR="008B69B1" w:rsidRPr="00F47964" w:rsidRDefault="00C578B2" w:rsidP="009C0137">
      <w:pPr>
        <w:pStyle w:val="Beschriftung"/>
        <w:keepNext/>
        <w:spacing w:after="120"/>
        <w:jc w:val="both"/>
        <w:rPr>
          <w:rFonts w:ascii="Arial" w:hAnsi="Arial" w:cs="Arial"/>
          <w:b/>
          <w:i w:val="0"/>
          <w:color w:val="FF0000"/>
          <w:sz w:val="22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4"/>
        </w:rPr>
        <w:t>Supplementary File 1</w:t>
      </w:r>
      <w:bookmarkStart w:id="0" w:name="_GoBack"/>
      <w:bookmarkEnd w:id="0"/>
      <w:r w:rsidR="008B69B1" w:rsidRPr="002B5A22">
        <w:rPr>
          <w:rFonts w:ascii="Arial" w:hAnsi="Arial" w:cs="Arial"/>
          <w:b/>
          <w:i w:val="0"/>
          <w:color w:val="000000" w:themeColor="text1"/>
          <w:sz w:val="22"/>
          <w:szCs w:val="24"/>
        </w:rPr>
        <w:t xml:space="preserve">. </w:t>
      </w:r>
      <w:r w:rsidR="002A0203" w:rsidRPr="002B5A22">
        <w:rPr>
          <w:rFonts w:ascii="Arial" w:hAnsi="Arial" w:cs="Arial"/>
          <w:b/>
          <w:i w:val="0"/>
          <w:color w:val="000000" w:themeColor="text1"/>
          <w:sz w:val="22"/>
          <w:szCs w:val="24"/>
        </w:rPr>
        <w:t>LC</w:t>
      </w:r>
      <w:r w:rsidR="00E016BF" w:rsidRPr="002B5A22">
        <w:rPr>
          <w:rFonts w:ascii="Arial" w:hAnsi="Arial" w:cs="Arial"/>
          <w:b/>
          <w:i w:val="0"/>
          <w:color w:val="000000" w:themeColor="text1"/>
          <w:sz w:val="22"/>
          <w:szCs w:val="24"/>
        </w:rPr>
        <w:t>-</w:t>
      </w:r>
      <w:r w:rsidR="002A0203" w:rsidRPr="002B5A22">
        <w:rPr>
          <w:rFonts w:ascii="Arial" w:hAnsi="Arial" w:cs="Arial"/>
          <w:b/>
          <w:i w:val="0"/>
          <w:color w:val="000000" w:themeColor="text1"/>
          <w:sz w:val="22"/>
          <w:szCs w:val="24"/>
        </w:rPr>
        <w:t xml:space="preserve">MS analysis revealed </w:t>
      </w:r>
      <w:r w:rsidR="008B69B1" w:rsidRPr="002B5A22">
        <w:rPr>
          <w:rFonts w:ascii="Arial" w:hAnsi="Arial" w:cs="Arial"/>
          <w:b/>
          <w:i w:val="0"/>
          <w:color w:val="000000" w:themeColor="text1"/>
          <w:sz w:val="22"/>
          <w:szCs w:val="24"/>
        </w:rPr>
        <w:t xml:space="preserve">24 proteins that </w:t>
      </w:r>
      <w:proofErr w:type="gramStart"/>
      <w:r w:rsidR="008B69B1" w:rsidRPr="002B5A22">
        <w:rPr>
          <w:rFonts w:ascii="Arial" w:hAnsi="Arial" w:cs="Arial"/>
          <w:b/>
          <w:i w:val="0"/>
          <w:color w:val="000000" w:themeColor="text1"/>
          <w:sz w:val="22"/>
          <w:szCs w:val="24"/>
        </w:rPr>
        <w:t xml:space="preserve">were </w:t>
      </w:r>
      <w:r w:rsidR="003A3179" w:rsidRPr="002B5A22">
        <w:rPr>
          <w:rFonts w:ascii="Arial" w:hAnsi="Arial" w:cs="Arial"/>
          <w:b/>
          <w:i w:val="0"/>
          <w:color w:val="000000" w:themeColor="text1"/>
          <w:sz w:val="22"/>
          <w:szCs w:val="24"/>
        </w:rPr>
        <w:t xml:space="preserve">exclusively </w:t>
      </w:r>
      <w:r w:rsidR="002A0203" w:rsidRPr="002B5A22">
        <w:rPr>
          <w:rFonts w:ascii="Arial" w:hAnsi="Arial" w:cs="Arial"/>
          <w:b/>
          <w:i w:val="0"/>
          <w:color w:val="000000" w:themeColor="text1"/>
          <w:sz w:val="22"/>
          <w:szCs w:val="24"/>
        </w:rPr>
        <w:t>produced</w:t>
      </w:r>
      <w:proofErr w:type="gramEnd"/>
      <w:r w:rsidR="002A0203" w:rsidRPr="002B5A22">
        <w:rPr>
          <w:rFonts w:ascii="Arial" w:hAnsi="Arial" w:cs="Arial"/>
          <w:b/>
          <w:i w:val="0"/>
          <w:color w:val="000000" w:themeColor="text1"/>
          <w:sz w:val="22"/>
          <w:szCs w:val="24"/>
        </w:rPr>
        <w:t xml:space="preserve"> in</w:t>
      </w:r>
      <w:r w:rsidR="008B69B1" w:rsidRPr="002B5A22">
        <w:rPr>
          <w:rFonts w:ascii="Arial" w:hAnsi="Arial" w:cs="Arial"/>
          <w:b/>
          <w:i w:val="0"/>
          <w:color w:val="000000" w:themeColor="text1"/>
          <w:sz w:val="22"/>
          <w:szCs w:val="24"/>
        </w:rPr>
        <w:t xml:space="preserve"> </w:t>
      </w:r>
      <w:r w:rsidR="00AF6F1E" w:rsidRPr="002B5A22">
        <w:rPr>
          <w:rFonts w:ascii="Arial" w:hAnsi="Arial" w:cs="Arial"/>
          <w:b/>
          <w:i w:val="0"/>
          <w:color w:val="000000" w:themeColor="text1"/>
          <w:sz w:val="22"/>
          <w:szCs w:val="24"/>
        </w:rPr>
        <w:t xml:space="preserve">both </w:t>
      </w:r>
      <w:r w:rsidR="008B69B1" w:rsidRPr="002B5A22">
        <w:rPr>
          <w:rFonts w:ascii="Arial" w:hAnsi="Arial" w:cs="Arial"/>
          <w:b/>
          <w:i w:val="0"/>
          <w:color w:val="000000" w:themeColor="text1"/>
          <w:sz w:val="22"/>
          <w:szCs w:val="24"/>
        </w:rPr>
        <w:t xml:space="preserve">sexual mycelia and </w:t>
      </w:r>
      <w:proofErr w:type="spellStart"/>
      <w:r w:rsidR="008B69B1" w:rsidRPr="002B5A22">
        <w:rPr>
          <w:rFonts w:ascii="Arial" w:hAnsi="Arial" w:cs="Arial"/>
          <w:b/>
          <w:i w:val="0"/>
          <w:color w:val="000000" w:themeColor="text1"/>
          <w:sz w:val="22"/>
          <w:szCs w:val="24"/>
        </w:rPr>
        <w:t>Hülle</w:t>
      </w:r>
      <w:proofErr w:type="spellEnd"/>
      <w:r w:rsidR="008B69B1" w:rsidRPr="002B5A22">
        <w:rPr>
          <w:rFonts w:ascii="Arial" w:hAnsi="Arial" w:cs="Arial"/>
          <w:b/>
          <w:i w:val="0"/>
          <w:color w:val="000000" w:themeColor="text1"/>
          <w:sz w:val="22"/>
          <w:szCs w:val="24"/>
        </w:rPr>
        <w:t xml:space="preserve"> cells</w:t>
      </w:r>
      <w:r w:rsidR="00C535F4" w:rsidRPr="002B5A22">
        <w:rPr>
          <w:rFonts w:ascii="Arial" w:hAnsi="Arial" w:cs="Arial"/>
          <w:b/>
          <w:i w:val="0"/>
          <w:color w:val="000000" w:themeColor="text1"/>
          <w:sz w:val="22"/>
          <w:szCs w:val="24"/>
        </w:rPr>
        <w:t>.</w:t>
      </w:r>
      <w:r w:rsidR="00464AD1" w:rsidRPr="002B5A22">
        <w:rPr>
          <w:rFonts w:ascii="Arial" w:hAnsi="Arial" w:cs="Arial"/>
          <w:b/>
          <w:i w:val="0"/>
          <w:color w:val="000000" w:themeColor="text1"/>
          <w:sz w:val="22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3312"/>
        <w:gridCol w:w="753"/>
        <w:gridCol w:w="723"/>
        <w:gridCol w:w="787"/>
        <w:gridCol w:w="744"/>
        <w:gridCol w:w="9"/>
        <w:gridCol w:w="755"/>
        <w:gridCol w:w="757"/>
      </w:tblGrid>
      <w:tr w:rsidR="00F7678F" w:rsidRPr="002B5A22" w14:paraId="472877E8" w14:textId="77777777" w:rsidTr="00A71ACA">
        <w:trPr>
          <w:trHeight w:val="120"/>
          <w:jc w:val="center"/>
        </w:trPr>
        <w:tc>
          <w:tcPr>
            <w:tcW w:w="8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A72424" w14:textId="696E30AC" w:rsidR="00F7678F" w:rsidRPr="002B5A22" w:rsidRDefault="00693D54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Protein</w:t>
            </w:r>
            <w:r w:rsidR="00F7678F"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ID</w:t>
            </w: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(name)</w:t>
            </w:r>
          </w:p>
        </w:tc>
        <w:tc>
          <w:tcPr>
            <w:tcW w:w="17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225E16" w14:textId="2D5ABA3D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Description</w:t>
            </w:r>
            <w:r w:rsidR="00693D54"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(from </w:t>
            </w:r>
            <w:proofErr w:type="spellStart"/>
            <w:r w:rsidR="00693D54"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FungiDB</w:t>
            </w:r>
            <w:proofErr w:type="spellEnd"/>
            <w:r w:rsidR="00693D54"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4FC819" w14:textId="203F63B3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 d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839A747" w14:textId="3AE08A64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 d</w:t>
            </w:r>
          </w:p>
        </w:tc>
        <w:tc>
          <w:tcPr>
            <w:tcW w:w="81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A4F889E" w14:textId="5329F94A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 d</w:t>
            </w:r>
          </w:p>
        </w:tc>
      </w:tr>
      <w:tr w:rsidR="00F7678F" w:rsidRPr="002B5A22" w14:paraId="5D289DA2" w14:textId="77777777" w:rsidTr="00A71ACA">
        <w:trPr>
          <w:trHeight w:val="120"/>
          <w:jc w:val="center"/>
        </w:trPr>
        <w:tc>
          <w:tcPr>
            <w:tcW w:w="80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F71731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4190C3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B5A23" w14:textId="21B5EA00" w:rsidR="00F7678F" w:rsidRPr="002B5A22" w:rsidRDefault="00F7678F" w:rsidP="009C0137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sex</w:t>
            </w:r>
            <w:proofErr w:type="gramEnd"/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. mycelia</w:t>
            </w:r>
          </w:p>
        </w:tc>
        <w:tc>
          <w:tcPr>
            <w:tcW w:w="38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9DCDA1" w14:textId="09522BE3" w:rsidR="00F7678F" w:rsidRPr="002B5A22" w:rsidRDefault="00F7678F" w:rsidP="009C0137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Hülle</w:t>
            </w:r>
            <w:proofErr w:type="spellEnd"/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cells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E655F5" w14:textId="117C3E60" w:rsidR="00F7678F" w:rsidRPr="002B5A22" w:rsidRDefault="00F7678F" w:rsidP="009C0137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sex</w:t>
            </w:r>
            <w:proofErr w:type="gramEnd"/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. mycelia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7C61E3" w14:textId="6671A291" w:rsidR="00F7678F" w:rsidRPr="002B5A22" w:rsidRDefault="00F7678F" w:rsidP="009C0137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Hülle</w:t>
            </w:r>
            <w:proofErr w:type="spellEnd"/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cells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C40430" w14:textId="17C2E2BF" w:rsidR="00F7678F" w:rsidRPr="002B5A22" w:rsidRDefault="00F7678F" w:rsidP="009C0137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sex</w:t>
            </w:r>
            <w:proofErr w:type="gramEnd"/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. mycelia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E188E7" w14:textId="2A818691" w:rsidR="00F7678F" w:rsidRPr="002B5A22" w:rsidRDefault="00F7678F" w:rsidP="009C0137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Hülle</w:t>
            </w:r>
            <w:proofErr w:type="spellEnd"/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cells</w:t>
            </w:r>
          </w:p>
        </w:tc>
      </w:tr>
      <w:tr w:rsidR="00F7678F" w:rsidRPr="002B5A22" w14:paraId="379A4AE5" w14:textId="77777777" w:rsidTr="00A71ACA">
        <w:trPr>
          <w:trHeight w:val="20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CDC90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AN7349 (</w:t>
            </w: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MutA</w:t>
            </w:r>
            <w:proofErr w:type="spellEnd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F685FD" w14:textId="5A57DED7" w:rsidR="00F7678F" w:rsidRPr="002B5A22" w:rsidRDefault="00693D54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α-1,3-glucanase (</w:t>
            </w: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mutanase</w:t>
            </w:r>
            <w:proofErr w:type="spellEnd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) activity, involved in carbohydrate catabolism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507EF02F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11A89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60F3BCFB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A5C067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4ED2F361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CFA06B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</w:p>
        </w:tc>
      </w:tr>
      <w:tr w:rsidR="00F7678F" w:rsidRPr="002B5A22" w14:paraId="57490A88" w14:textId="77777777" w:rsidTr="00A71ACA">
        <w:trPr>
          <w:trHeight w:val="20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380D2E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AN0941 (</w:t>
            </w: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AgdE</w:t>
            </w:r>
            <w:proofErr w:type="spellEnd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5E7D52" w14:textId="584E9931" w:rsidR="00F7678F" w:rsidRPr="002B5A22" w:rsidRDefault="00693D54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α-1,4-glucosidase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FA83F0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A45D29" w14:textId="1480F6E0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96D8F8" w14:textId="4A86B846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0E6B39" w14:textId="5DBE7A7C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344E57" w14:textId="05729E53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AE10E8" w14:textId="2EFEFCC5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</w:p>
        </w:tc>
      </w:tr>
      <w:tr w:rsidR="00F7678F" w:rsidRPr="002B5A22" w14:paraId="6DF31939" w14:textId="77777777" w:rsidTr="00A71ACA">
        <w:trPr>
          <w:trHeight w:val="20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25ED22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AN3790 (</w:t>
            </w: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AgnB</w:t>
            </w:r>
            <w:proofErr w:type="spellEnd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06F024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Putative α-1,3-glucanase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6F377728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E330D1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4FD4A25C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65747F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6E32F424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CCF846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</w:tr>
      <w:tr w:rsidR="00F7678F" w:rsidRPr="002B5A22" w14:paraId="722DB6A1" w14:textId="77777777" w:rsidTr="00A71ACA">
        <w:trPr>
          <w:trHeight w:val="20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1B8BFB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AN9443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D5E1CB" w14:textId="1ABB0DC9" w:rsidR="00F7678F" w:rsidRPr="002B5A22" w:rsidRDefault="00693D54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Has domain(s) with predicted catalytic activity and role in carbohydrate metabolic process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43F8C5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AB771B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522FA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1B6DF7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568FD3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D852FD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</w:tr>
      <w:tr w:rsidR="00F7678F" w:rsidRPr="002B5A22" w14:paraId="0FE865D2" w14:textId="77777777" w:rsidTr="00A71ACA">
        <w:trPr>
          <w:trHeight w:val="20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C432B3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AN7345 (</w:t>
            </w: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AgdC</w:t>
            </w:r>
            <w:proofErr w:type="spellEnd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D9F2BE" w14:textId="0999C6C0" w:rsidR="00F7678F" w:rsidRPr="002B5A22" w:rsidRDefault="00693D54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α-glucosidase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6F422435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740681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192A6971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1BE115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47968B9D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76ED95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</w:p>
        </w:tc>
      </w:tr>
      <w:tr w:rsidR="00F7678F" w:rsidRPr="002B5A22" w14:paraId="49B3C7EB" w14:textId="77777777" w:rsidTr="00A71ACA">
        <w:trPr>
          <w:trHeight w:val="20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96D006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AN11143 (</w:t>
            </w: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GlaA</w:t>
            </w:r>
            <w:proofErr w:type="spellEnd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772DC" w14:textId="2D7C22C6" w:rsidR="00F7678F" w:rsidRPr="002B5A22" w:rsidRDefault="00693D54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Putative </w:t>
            </w: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glucoamylase</w:t>
            </w:r>
            <w:proofErr w:type="spellEnd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with a predicted role in starch metabolism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BE455B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776909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0541DA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C4241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468D67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BA7CB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F7678F" w:rsidRPr="002B5A22" w14:paraId="4AAC7B6B" w14:textId="77777777" w:rsidTr="00A71ACA">
        <w:trPr>
          <w:trHeight w:val="417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094C7A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AN11049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C7B073" w14:textId="433C2DD0" w:rsidR="00F7678F" w:rsidRPr="002B5A22" w:rsidRDefault="00693D54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NmrA</w:t>
            </w:r>
            <w:proofErr w:type="spellEnd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-like domain containing protein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03C8F43D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E6E13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0EE1A54C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8F18A6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69B14915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4D8DFC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49</w:t>
            </w:r>
          </w:p>
        </w:tc>
      </w:tr>
      <w:tr w:rsidR="00F7678F" w:rsidRPr="002B5A22" w14:paraId="7DDE93EF" w14:textId="77777777" w:rsidTr="00A71ACA">
        <w:trPr>
          <w:trHeight w:val="20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07A4F7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AN10023 (</w:t>
            </w:r>
            <w:proofErr w:type="spellStart"/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MdpL</w:t>
            </w:r>
            <w:proofErr w:type="spellEnd"/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50838C" w14:textId="47E1C330" w:rsidR="00F7678F" w:rsidRPr="002B5A22" w:rsidRDefault="00693D54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Member of the </w:t>
            </w: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monodictyphenone</w:t>
            </w:r>
            <w:proofErr w:type="spellEnd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2B5A2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mdp</w:t>
            </w:r>
            <w:proofErr w:type="spellEnd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) secondary metabolite biosynthesis gene cluster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D3A0AC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C7C86A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6073EF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C611A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361502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E384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42</w:t>
            </w:r>
          </w:p>
        </w:tc>
      </w:tr>
      <w:tr w:rsidR="00F7678F" w:rsidRPr="002B5A22" w14:paraId="50013B22" w14:textId="77777777" w:rsidTr="00A71ACA">
        <w:trPr>
          <w:trHeight w:val="20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E4510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AN7999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0C5FCA" w14:textId="6EA3114B" w:rsidR="00F7678F" w:rsidRPr="002B5A22" w:rsidRDefault="00693D54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Putative</w:t>
            </w:r>
            <w:r w:rsidR="00F7678F"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oxidoreductase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45C38E37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33B8E8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2D498FD2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1F48B9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1D35CE74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3E0BB0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47</w:t>
            </w:r>
          </w:p>
        </w:tc>
      </w:tr>
      <w:tr w:rsidR="00F7678F" w:rsidRPr="002B5A22" w14:paraId="26D6D5EF" w14:textId="77777777" w:rsidTr="00A71ACA">
        <w:trPr>
          <w:trHeight w:val="20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465C78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AN7998 (</w:t>
            </w:r>
            <w:proofErr w:type="spellStart"/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XptC</w:t>
            </w:r>
            <w:proofErr w:type="spellEnd"/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564E9E" w14:textId="1B6CC482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GMC oxidoreductase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12FA3D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16ACC9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EF5E75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78B44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768498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C9B3B4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F7678F" w:rsidRPr="002B5A22" w14:paraId="39A8C392" w14:textId="77777777" w:rsidTr="00A71ACA">
        <w:trPr>
          <w:trHeight w:val="20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D9FFD4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AN12402 (</w:t>
            </w:r>
            <w:proofErr w:type="spellStart"/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XptB</w:t>
            </w:r>
            <w:proofErr w:type="spellEnd"/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381EDD" w14:textId="666F1565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Prenyltransferase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5C04DCA0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90C5E2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6A044E2F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384E2C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051BB372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BFDE81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F7678F" w:rsidRPr="002B5A22" w14:paraId="145FA3A9" w14:textId="77777777" w:rsidTr="00A71ACA">
        <w:trPr>
          <w:trHeight w:val="20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38298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AN10022 (</w:t>
            </w:r>
            <w:proofErr w:type="spellStart"/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MdpH</w:t>
            </w:r>
            <w:proofErr w:type="spellEnd"/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95D0CA" w14:textId="7E2EBA35" w:rsidR="00F7678F" w:rsidRPr="002B5A22" w:rsidRDefault="00693D54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Protein with homology to the DUF 1772 superfamily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77D1D6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B9F3B4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72F0F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653726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01B1CE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0EEF32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F7678F" w:rsidRPr="002B5A22" w14:paraId="6B12766A" w14:textId="77777777" w:rsidTr="00A71ACA">
        <w:trPr>
          <w:trHeight w:val="20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642E4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AN0150 (</w:t>
            </w:r>
            <w:proofErr w:type="spellStart"/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MdpG</w:t>
            </w:r>
            <w:proofErr w:type="spellEnd"/>
            <w:r w:rsidRPr="002B5A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10FD05" w14:textId="79FE43FA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Polyketide synthase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07C77AA4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B8A68B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68D9E87A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B88330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638D8D5F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5538C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F7678F" w:rsidRPr="002B5A22" w14:paraId="4C190EC9" w14:textId="77777777" w:rsidTr="00A71ACA">
        <w:trPr>
          <w:trHeight w:val="20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55A3B7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AN7812 (</w:t>
            </w: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StcN</w:t>
            </w:r>
            <w:proofErr w:type="spellEnd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7669D6" w14:textId="6AC4F00A" w:rsidR="00F7678F" w:rsidRPr="002B5A22" w:rsidRDefault="00693D54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Putative </w:t>
            </w: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versicolorin</w:t>
            </w:r>
            <w:proofErr w:type="spellEnd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 synthase with a predicted role in </w:t>
            </w: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sterigmatocystin</w:t>
            </w:r>
            <w:proofErr w:type="spellEnd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/aflatoxin biosynthesis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72616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CF0D5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80093A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EB4A3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949E65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8D4B1D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F7678F" w:rsidRPr="002B5A22" w14:paraId="190AED42" w14:textId="77777777" w:rsidTr="00A71ACA">
        <w:trPr>
          <w:trHeight w:val="20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5910F4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AN7641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EC5BFA" w14:textId="1AE93C15" w:rsidR="00F7678F" w:rsidRPr="002B5A22" w:rsidRDefault="00693D54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Putative copper amine oxidase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059138B3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38EB51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35A8566C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83877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546AEECB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57B91D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F7678F" w:rsidRPr="002B5A22" w14:paraId="005AB89A" w14:textId="77777777" w:rsidTr="00A71ACA">
        <w:trPr>
          <w:trHeight w:val="20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3CBED6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AN6314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720AFB" w14:textId="662FE6EF" w:rsidR="00F7678F" w:rsidRPr="002B5A22" w:rsidRDefault="00693D54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Has domain(s) with predicted oxidoreductase activity and role in metabolic process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1C26F6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0F74CC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009040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AAAE6F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F2A13C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202429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</w:tc>
      </w:tr>
      <w:tr w:rsidR="00F7678F" w:rsidRPr="002B5A22" w14:paraId="7B5D0858" w14:textId="77777777" w:rsidTr="00A71ACA">
        <w:trPr>
          <w:trHeight w:val="20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689E99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AN8203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992554" w14:textId="34B9FAB3" w:rsidR="00F7678F" w:rsidRPr="002B5A22" w:rsidRDefault="00464AD1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Ortholog</w:t>
            </w:r>
            <w:proofErr w:type="spellEnd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(s) have NAD+ synthase (glutamine-hydrolyzing) activity, </w:t>
            </w: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glutaminase</w:t>
            </w:r>
            <w:proofErr w:type="spellEnd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activity, role in NAD biosynthetic process and cytosol, nucleus localization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4139F643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A92DA5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604913D1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8A22F2" w14:textId="6D67CBA0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446B9EF1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BD554C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F7678F" w:rsidRPr="002B5A22" w14:paraId="3973732F" w14:textId="77777777" w:rsidTr="00A71ACA">
        <w:trPr>
          <w:trHeight w:val="20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161865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AN1142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B2C16B" w14:textId="7DDC51EE" w:rsidR="00F7678F" w:rsidRPr="002B5A22" w:rsidRDefault="00464AD1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Has domain(s) with predicted UDP-N-</w:t>
            </w: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acetylmuramate</w:t>
            </w:r>
            <w:proofErr w:type="spellEnd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dehydrogenase activity, </w:t>
            </w: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flavin</w:t>
            </w:r>
            <w:proofErr w:type="spellEnd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adenine dinucleotide binding, oxidoreductase activity and role in oxidation-reduction process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300D6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33D8DA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12E523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ED1D32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85EAD3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8E4417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F7678F" w:rsidRPr="002B5A22" w14:paraId="1D3DAA61" w14:textId="77777777" w:rsidTr="00A71ACA">
        <w:trPr>
          <w:trHeight w:val="20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69CDB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AN11897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8C3BAE" w14:textId="618EDBC8" w:rsidR="00F7678F" w:rsidRPr="002B5A22" w:rsidRDefault="00464AD1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Has domain(s) with predicted RNA binding, ribonuclease T2 activity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29DA2594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E06E6A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2CF8B592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5A6C71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13FF130E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8AB80F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F7678F" w:rsidRPr="002B5A22" w14:paraId="7768D9C3" w14:textId="77777777" w:rsidTr="00A71ACA">
        <w:trPr>
          <w:trHeight w:val="20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BE0994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AN5669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825166" w14:textId="697CD642" w:rsidR="00F7678F" w:rsidRPr="002B5A22" w:rsidRDefault="00464AD1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Putative succinyl-CoA:3-ketoacid-coenzyme A transferase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799FB4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F09A94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66DFAD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9FEDB9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6FD867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CDCD8C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F7678F" w:rsidRPr="002B5A22" w14:paraId="4113F960" w14:textId="77777777" w:rsidTr="00A71ACA">
        <w:trPr>
          <w:trHeight w:val="20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6F325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AN10977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5A9C18" w14:textId="74FC6223" w:rsidR="00F7678F" w:rsidRPr="002B5A22" w:rsidRDefault="00464AD1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Ortholog</w:t>
            </w:r>
            <w:proofErr w:type="spellEnd"/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(s) have extracellular region localization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112333C4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85A106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377F2D36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F635C7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1479DFDF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8E39EB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F7678F" w:rsidRPr="002B5A22" w14:paraId="36274CF0" w14:textId="77777777" w:rsidTr="00A71ACA">
        <w:trPr>
          <w:trHeight w:val="86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52AD25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AN6930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C9330B" w14:textId="34094217" w:rsidR="00F7678F" w:rsidRPr="002B5A22" w:rsidRDefault="00464AD1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Has domain(s) with predicted catalytic activity, pyridoxal phosphate binding, transaminase activity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B7F539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478FCE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64B4AA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73CE00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B2B395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A05650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F7678F" w:rsidRPr="002B5A22" w14:paraId="04660AA7" w14:textId="77777777" w:rsidTr="00A71ACA">
        <w:trPr>
          <w:trHeight w:val="20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F6EAD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AN5488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5B45E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Protein of unknown function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30E56BF7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6BB945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7BAF8466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773278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vAlign w:val="center"/>
          </w:tcPr>
          <w:p w14:paraId="52D7F158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52AF4F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F7678F" w:rsidRPr="002B5A22" w14:paraId="6FAA901E" w14:textId="77777777" w:rsidTr="00A71ACA">
        <w:trPr>
          <w:trHeight w:val="20"/>
          <w:jc w:val="center"/>
        </w:trPr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B357F2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AN1863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41D05B" w14:textId="77777777" w:rsidR="00F7678F" w:rsidRPr="002B5A22" w:rsidRDefault="00F7678F" w:rsidP="00693D5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Protein of unknown function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E30D0D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864F8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C64F3E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DACC7F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E40F36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2853C0" w14:textId="77777777" w:rsidR="00F7678F" w:rsidRPr="002B5A22" w:rsidRDefault="00F7678F" w:rsidP="009C0137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5A22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</w:tr>
    </w:tbl>
    <w:p w14:paraId="6040D70F" w14:textId="77777777" w:rsidR="00B71ECF" w:rsidRPr="002B5A22" w:rsidRDefault="00B71ECF" w:rsidP="00B551CB">
      <w:pPr>
        <w:pStyle w:val="Beschriftung"/>
        <w:keepNext/>
        <w:spacing w:after="120"/>
        <w:jc w:val="both"/>
        <w:rPr>
          <w:rFonts w:ascii="Arial" w:hAnsi="Arial" w:cs="Arial"/>
          <w:iCs w:val="0"/>
          <w:color w:val="000000" w:themeColor="text1"/>
          <w:sz w:val="20"/>
          <w:szCs w:val="20"/>
        </w:rPr>
      </w:pPr>
    </w:p>
    <w:p w14:paraId="049891FC" w14:textId="77777777" w:rsidR="00847864" w:rsidRDefault="00847864" w:rsidP="00847864">
      <w:pPr>
        <w:pStyle w:val="Beschriftung"/>
        <w:keepNext/>
        <w:spacing w:after="120"/>
        <w:jc w:val="both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2B5A22">
        <w:rPr>
          <w:rFonts w:ascii="Arial" w:hAnsi="Arial" w:cs="Arial"/>
          <w:iCs w:val="0"/>
          <w:color w:val="000000" w:themeColor="text1"/>
          <w:sz w:val="20"/>
          <w:szCs w:val="20"/>
        </w:rPr>
        <w:t xml:space="preserve">A. </w:t>
      </w:r>
      <w:proofErr w:type="spellStart"/>
      <w:r w:rsidRPr="002B5A22">
        <w:rPr>
          <w:rFonts w:ascii="Arial" w:hAnsi="Arial" w:cs="Arial"/>
          <w:iCs w:val="0"/>
          <w:color w:val="000000" w:themeColor="text1"/>
          <w:sz w:val="20"/>
          <w:szCs w:val="20"/>
        </w:rPr>
        <w:t>nidulans</w:t>
      </w:r>
      <w:proofErr w:type="spellEnd"/>
      <w:r w:rsidRPr="002B5A22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2B5A22">
        <w:rPr>
          <w:rFonts w:ascii="Arial" w:hAnsi="Arial" w:cs="Arial"/>
          <w:i w:val="0"/>
          <w:color w:val="000000" w:themeColor="text1"/>
          <w:sz w:val="20"/>
          <w:szCs w:val="20"/>
        </w:rPr>
        <w:t>wildtype</w:t>
      </w:r>
      <w:proofErr w:type="spellEnd"/>
      <w:r w:rsidRPr="002B5A22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A4 was cultivated on agar plates under sexual conditions for three, five and seven days. </w:t>
      </w:r>
      <w:proofErr w:type="spellStart"/>
      <w:r w:rsidRPr="002B5A22">
        <w:rPr>
          <w:rFonts w:ascii="Arial" w:hAnsi="Arial" w:cs="Arial"/>
          <w:i w:val="0"/>
          <w:color w:val="000000" w:themeColor="text1"/>
          <w:sz w:val="20"/>
          <w:szCs w:val="20"/>
        </w:rPr>
        <w:t>Hülle</w:t>
      </w:r>
      <w:proofErr w:type="spellEnd"/>
      <w:r w:rsidRPr="002B5A22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cells </w:t>
      </w:r>
      <w:proofErr w:type="gramStart"/>
      <w:r w:rsidRPr="002B5A22">
        <w:rPr>
          <w:rFonts w:ascii="Arial" w:hAnsi="Arial" w:cs="Arial"/>
          <w:i w:val="0"/>
          <w:color w:val="000000" w:themeColor="text1"/>
          <w:sz w:val="20"/>
          <w:szCs w:val="20"/>
        </w:rPr>
        <w:t>were enriched</w:t>
      </w:r>
      <w:proofErr w:type="gramEnd"/>
      <w:r w:rsidRPr="002B5A22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from plates. Proteins </w:t>
      </w:r>
      <w:proofErr w:type="gramStart"/>
      <w:r w:rsidRPr="002B5A22">
        <w:rPr>
          <w:rFonts w:ascii="Arial" w:hAnsi="Arial" w:cs="Arial"/>
          <w:i w:val="0"/>
          <w:color w:val="000000" w:themeColor="text1"/>
          <w:sz w:val="20"/>
          <w:szCs w:val="20"/>
        </w:rPr>
        <w:t>were identified</w:t>
      </w:r>
      <w:proofErr w:type="gramEnd"/>
      <w:r w:rsidRPr="002B5A22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by LC-MS. Only proteins identified in two or more biological replicates and with two or more peptides per protein </w:t>
      </w:r>
      <w:proofErr w:type="gramStart"/>
      <w:r w:rsidRPr="002B5A22">
        <w:rPr>
          <w:rFonts w:ascii="Arial" w:hAnsi="Arial" w:cs="Arial"/>
          <w:i w:val="0"/>
          <w:color w:val="000000" w:themeColor="text1"/>
          <w:sz w:val="20"/>
          <w:szCs w:val="20"/>
        </w:rPr>
        <w:t>were considered</w:t>
      </w:r>
      <w:proofErr w:type="gramEnd"/>
      <w:r w:rsidRPr="002B5A22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for the analysis. Numbers represent the average of spectral counts from three biological replicates. Proteins in bold are encoded by </w:t>
      </w:r>
      <w:proofErr w:type="spellStart"/>
      <w:r w:rsidRPr="002B5A22">
        <w:rPr>
          <w:rFonts w:ascii="Arial" w:hAnsi="Arial" w:cs="Arial"/>
          <w:color w:val="000000" w:themeColor="text1"/>
          <w:sz w:val="20"/>
          <w:szCs w:val="20"/>
        </w:rPr>
        <w:t>mdp</w:t>
      </w:r>
      <w:proofErr w:type="spellEnd"/>
      <w:r w:rsidRPr="002B5A22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/</w:t>
      </w:r>
      <w:proofErr w:type="spellStart"/>
      <w:r w:rsidRPr="002B5A22">
        <w:rPr>
          <w:rFonts w:ascii="Arial" w:hAnsi="Arial" w:cs="Arial"/>
          <w:color w:val="000000" w:themeColor="text1"/>
          <w:sz w:val="20"/>
          <w:szCs w:val="20"/>
        </w:rPr>
        <w:t>xpt</w:t>
      </w:r>
      <w:proofErr w:type="spellEnd"/>
      <w:r w:rsidRPr="002B5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B5A22">
        <w:rPr>
          <w:rFonts w:ascii="Arial" w:hAnsi="Arial" w:cs="Arial"/>
          <w:i w:val="0"/>
          <w:color w:val="000000" w:themeColor="text1"/>
          <w:sz w:val="20"/>
          <w:szCs w:val="20"/>
        </w:rPr>
        <w:t>genes. Source data are provided as a Source data file.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</w:p>
    <w:p w14:paraId="5B93D865" w14:textId="6C25351B" w:rsidR="004562E3" w:rsidRPr="00321928" w:rsidRDefault="00847864" w:rsidP="00847864">
      <w:pPr>
        <w:rPr>
          <w:rFonts w:ascii="Arial" w:hAnsi="Arial" w:cs="Arial"/>
        </w:rPr>
      </w:pPr>
      <w:r w:rsidRPr="00321928">
        <w:rPr>
          <w:rFonts w:ascii="Arial" w:hAnsi="Arial" w:cs="Arial"/>
          <w:color w:val="FF0000"/>
          <w:sz w:val="20"/>
          <w:szCs w:val="20"/>
        </w:rPr>
        <w:t>Table S1-Source data 1</w:t>
      </w:r>
    </w:p>
    <w:p w14:paraId="53F2380A" w14:textId="0E5CB96B" w:rsidR="004562E3" w:rsidRPr="002B5A22" w:rsidRDefault="004562E3" w:rsidP="004562E3">
      <w:pPr>
        <w:rPr>
          <w:rFonts w:ascii="Arial" w:hAnsi="Arial" w:cs="Arial"/>
        </w:rPr>
      </w:pPr>
    </w:p>
    <w:p w14:paraId="1641F2EC" w14:textId="7B111249" w:rsidR="004562E3" w:rsidRPr="002B5A22" w:rsidRDefault="004562E3" w:rsidP="004562E3">
      <w:pPr>
        <w:rPr>
          <w:rFonts w:ascii="Arial" w:hAnsi="Arial" w:cs="Arial"/>
        </w:rPr>
      </w:pPr>
    </w:p>
    <w:p w14:paraId="58F77075" w14:textId="5205A9CF" w:rsidR="004562E3" w:rsidRPr="002B5A22" w:rsidRDefault="004562E3" w:rsidP="004562E3">
      <w:pPr>
        <w:rPr>
          <w:rFonts w:ascii="Arial" w:hAnsi="Arial" w:cs="Arial"/>
        </w:rPr>
      </w:pPr>
    </w:p>
    <w:p w14:paraId="3E503BDF" w14:textId="2715B367" w:rsidR="002B5BD6" w:rsidRPr="002B5A22" w:rsidRDefault="002B5BD6" w:rsidP="004562E3">
      <w:pPr>
        <w:rPr>
          <w:rFonts w:ascii="Arial" w:hAnsi="Arial" w:cs="Arial"/>
        </w:rPr>
      </w:pPr>
    </w:p>
    <w:p w14:paraId="069044A6" w14:textId="67A639B1" w:rsidR="002B5BD6" w:rsidRPr="002B5A22" w:rsidRDefault="002B5BD6" w:rsidP="004562E3">
      <w:pPr>
        <w:rPr>
          <w:rFonts w:ascii="Arial" w:hAnsi="Arial" w:cs="Arial"/>
        </w:rPr>
      </w:pPr>
    </w:p>
    <w:p w14:paraId="6F002DA4" w14:textId="74E3CD75" w:rsidR="002B5BD6" w:rsidRPr="002B5A22" w:rsidRDefault="002B5BD6" w:rsidP="004562E3">
      <w:pPr>
        <w:rPr>
          <w:rFonts w:ascii="Arial" w:hAnsi="Arial" w:cs="Arial"/>
        </w:rPr>
      </w:pPr>
    </w:p>
    <w:p w14:paraId="624DFC76" w14:textId="64DB178D" w:rsidR="002B5BD6" w:rsidRPr="002B5A22" w:rsidRDefault="002B5BD6" w:rsidP="004562E3">
      <w:pPr>
        <w:rPr>
          <w:rFonts w:ascii="Arial" w:hAnsi="Arial" w:cs="Arial"/>
        </w:rPr>
      </w:pPr>
    </w:p>
    <w:p w14:paraId="44237083" w14:textId="1EA027D6" w:rsidR="002B5BD6" w:rsidRPr="002B5A22" w:rsidRDefault="002B5BD6" w:rsidP="004562E3">
      <w:pPr>
        <w:rPr>
          <w:rFonts w:ascii="Arial" w:hAnsi="Arial" w:cs="Arial"/>
        </w:rPr>
      </w:pPr>
    </w:p>
    <w:p w14:paraId="0124F2D8" w14:textId="0185017E" w:rsidR="002B5BD6" w:rsidRPr="002B5A22" w:rsidRDefault="002B5BD6" w:rsidP="004562E3">
      <w:pPr>
        <w:rPr>
          <w:rFonts w:ascii="Arial" w:hAnsi="Arial" w:cs="Arial"/>
        </w:rPr>
      </w:pPr>
    </w:p>
    <w:p w14:paraId="6696FB04" w14:textId="4928AF4A" w:rsidR="002B5BD6" w:rsidRPr="002B5A22" w:rsidRDefault="002B5BD6" w:rsidP="004562E3">
      <w:pPr>
        <w:rPr>
          <w:rFonts w:ascii="Arial" w:hAnsi="Arial" w:cs="Arial"/>
        </w:rPr>
      </w:pPr>
    </w:p>
    <w:p w14:paraId="38D98B84" w14:textId="0CCA146F" w:rsidR="002B5BD6" w:rsidRPr="002B5A22" w:rsidRDefault="002B5BD6" w:rsidP="004562E3">
      <w:pPr>
        <w:rPr>
          <w:rFonts w:ascii="Arial" w:hAnsi="Arial" w:cs="Arial"/>
        </w:rPr>
      </w:pPr>
    </w:p>
    <w:p w14:paraId="3F7E92C2" w14:textId="75D0EB4C" w:rsidR="002B5BD6" w:rsidRPr="002B5A22" w:rsidRDefault="002B5BD6" w:rsidP="004562E3">
      <w:pPr>
        <w:rPr>
          <w:rFonts w:ascii="Arial" w:hAnsi="Arial" w:cs="Arial"/>
        </w:rPr>
      </w:pPr>
    </w:p>
    <w:p w14:paraId="6ADFC61B" w14:textId="25BFF19F" w:rsidR="002B5BD6" w:rsidRPr="002B5A22" w:rsidRDefault="002B5BD6" w:rsidP="004562E3">
      <w:pPr>
        <w:rPr>
          <w:rFonts w:ascii="Arial" w:hAnsi="Arial" w:cs="Arial"/>
        </w:rPr>
      </w:pPr>
    </w:p>
    <w:p w14:paraId="508304F7" w14:textId="77777777" w:rsidR="004562E3" w:rsidRPr="002B5A22" w:rsidRDefault="004562E3" w:rsidP="004562E3">
      <w:pPr>
        <w:rPr>
          <w:rFonts w:ascii="Arial" w:hAnsi="Arial" w:cs="Arial"/>
        </w:rPr>
      </w:pPr>
    </w:p>
    <w:sectPr w:rsidR="004562E3" w:rsidRPr="002B5A22" w:rsidSect="0068209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7AF1C" w14:textId="77777777" w:rsidR="00A521F7" w:rsidRDefault="00A521F7" w:rsidP="00124C3F">
      <w:r>
        <w:separator/>
      </w:r>
    </w:p>
  </w:endnote>
  <w:endnote w:type="continuationSeparator" w:id="0">
    <w:p w14:paraId="4A1E9CDC" w14:textId="77777777" w:rsidR="00A521F7" w:rsidRDefault="00A521F7" w:rsidP="0012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44268345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95A72F8" w14:textId="425A99C2" w:rsidR="00255961" w:rsidRDefault="00255961" w:rsidP="001B708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7D173F5" w14:textId="77777777" w:rsidR="00255961" w:rsidRDefault="002559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49947720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8334C6" w14:textId="745089C2" w:rsidR="00255961" w:rsidRDefault="00255961" w:rsidP="001B708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C578B2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0465DA4" w14:textId="77777777" w:rsidR="00255961" w:rsidRDefault="002559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21C97" w14:textId="77777777" w:rsidR="00A521F7" w:rsidRDefault="00A521F7" w:rsidP="00124C3F">
      <w:r>
        <w:separator/>
      </w:r>
    </w:p>
  </w:footnote>
  <w:footnote w:type="continuationSeparator" w:id="0">
    <w:p w14:paraId="4A778B0B" w14:textId="77777777" w:rsidR="00A521F7" w:rsidRDefault="00A521F7" w:rsidP="0012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014A8"/>
    <w:multiLevelType w:val="multilevel"/>
    <w:tmpl w:val="3A4CF100"/>
    <w:lvl w:ilvl="0">
      <w:start w:val="10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938CD"/>
    <w:multiLevelType w:val="multilevel"/>
    <w:tmpl w:val="AE5A49C4"/>
    <w:styleLink w:val="1"/>
    <w:lvl w:ilvl="0">
      <w:numFmt w:val="decimal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B8F3160"/>
    <w:multiLevelType w:val="multilevel"/>
    <w:tmpl w:val="F4921B8C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0D570501"/>
    <w:multiLevelType w:val="hybridMultilevel"/>
    <w:tmpl w:val="998E4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2DDA"/>
    <w:multiLevelType w:val="multilevel"/>
    <w:tmpl w:val="9CC6EAE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A975F3"/>
    <w:multiLevelType w:val="multilevel"/>
    <w:tmpl w:val="6D76C7E2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4270C"/>
    <w:multiLevelType w:val="hybridMultilevel"/>
    <w:tmpl w:val="EDB28366"/>
    <w:lvl w:ilvl="0" w:tplc="009825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47485"/>
    <w:multiLevelType w:val="multilevel"/>
    <w:tmpl w:val="C6C6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F0470"/>
    <w:multiLevelType w:val="hybridMultilevel"/>
    <w:tmpl w:val="595C839E"/>
    <w:lvl w:ilvl="0" w:tplc="E4AE9A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36E4DA7"/>
    <w:multiLevelType w:val="hybridMultilevel"/>
    <w:tmpl w:val="061CB3D4"/>
    <w:lvl w:ilvl="0" w:tplc="F14C7D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C2BC9"/>
    <w:multiLevelType w:val="hybridMultilevel"/>
    <w:tmpl w:val="810062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870DB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13" w15:restartNumberingAfterBreak="0">
    <w:nsid w:val="6ABF6899"/>
    <w:multiLevelType w:val="hybridMultilevel"/>
    <w:tmpl w:val="61D21006"/>
    <w:lvl w:ilvl="0" w:tplc="C4A236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11389"/>
    <w:multiLevelType w:val="multilevel"/>
    <w:tmpl w:val="2144735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FB6A19"/>
    <w:multiLevelType w:val="hybridMultilevel"/>
    <w:tmpl w:val="18BC3692"/>
    <w:lvl w:ilvl="0" w:tplc="1E8437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15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1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p2dttfg0dt9metvve529sw0d9zea5zfzrt&quot;&gt;My EndNote Library-Saved&lt;record-ids&gt;&lt;item&gt;23&lt;/item&gt;&lt;item&gt;77&lt;/item&gt;&lt;item&gt;79&lt;/item&gt;&lt;item&gt;137&lt;/item&gt;&lt;item&gt;222&lt;/item&gt;&lt;item&gt;224&lt;/item&gt;&lt;item&gt;225&lt;/item&gt;&lt;item&gt;438&lt;/item&gt;&lt;/record-ids&gt;&lt;/item&gt;&lt;/Libraries&gt;"/>
  </w:docVars>
  <w:rsids>
    <w:rsidRoot w:val="008B69B1"/>
    <w:rsid w:val="00020710"/>
    <w:rsid w:val="00021787"/>
    <w:rsid w:val="000344B1"/>
    <w:rsid w:val="00050C8C"/>
    <w:rsid w:val="00076C71"/>
    <w:rsid w:val="000808EB"/>
    <w:rsid w:val="00081FC0"/>
    <w:rsid w:val="0009353A"/>
    <w:rsid w:val="000B6E8A"/>
    <w:rsid w:val="000B7CA6"/>
    <w:rsid w:val="000C61E7"/>
    <w:rsid w:val="000D4257"/>
    <w:rsid w:val="000D7F73"/>
    <w:rsid w:val="000E0ED1"/>
    <w:rsid w:val="000E1B0D"/>
    <w:rsid w:val="000F2C54"/>
    <w:rsid w:val="0010235D"/>
    <w:rsid w:val="00107488"/>
    <w:rsid w:val="00107500"/>
    <w:rsid w:val="001101DF"/>
    <w:rsid w:val="00114D43"/>
    <w:rsid w:val="00124C3F"/>
    <w:rsid w:val="0014561B"/>
    <w:rsid w:val="0014669A"/>
    <w:rsid w:val="00150A48"/>
    <w:rsid w:val="001540EC"/>
    <w:rsid w:val="001570C1"/>
    <w:rsid w:val="00157C26"/>
    <w:rsid w:val="0016120C"/>
    <w:rsid w:val="00163D6E"/>
    <w:rsid w:val="001716CA"/>
    <w:rsid w:val="00173B3B"/>
    <w:rsid w:val="00174F69"/>
    <w:rsid w:val="00176E62"/>
    <w:rsid w:val="0017719B"/>
    <w:rsid w:val="001918BC"/>
    <w:rsid w:val="00197D63"/>
    <w:rsid w:val="00197F13"/>
    <w:rsid w:val="001A24FF"/>
    <w:rsid w:val="001B1D1A"/>
    <w:rsid w:val="001B3B71"/>
    <w:rsid w:val="001B4B36"/>
    <w:rsid w:val="001B660B"/>
    <w:rsid w:val="001B6C64"/>
    <w:rsid w:val="001C176E"/>
    <w:rsid w:val="001C7A51"/>
    <w:rsid w:val="001D35B8"/>
    <w:rsid w:val="001D4F17"/>
    <w:rsid w:val="001D606A"/>
    <w:rsid w:val="001E4B00"/>
    <w:rsid w:val="001F5175"/>
    <w:rsid w:val="001F69D8"/>
    <w:rsid w:val="00205574"/>
    <w:rsid w:val="00212DD3"/>
    <w:rsid w:val="0022546B"/>
    <w:rsid w:val="00226645"/>
    <w:rsid w:val="002351B8"/>
    <w:rsid w:val="00235ED0"/>
    <w:rsid w:val="00237334"/>
    <w:rsid w:val="002407BF"/>
    <w:rsid w:val="00242620"/>
    <w:rsid w:val="00243AF7"/>
    <w:rsid w:val="0025379D"/>
    <w:rsid w:val="00255961"/>
    <w:rsid w:val="002618E3"/>
    <w:rsid w:val="00261A3A"/>
    <w:rsid w:val="00273014"/>
    <w:rsid w:val="00273C80"/>
    <w:rsid w:val="002765EF"/>
    <w:rsid w:val="002854CD"/>
    <w:rsid w:val="002875BF"/>
    <w:rsid w:val="002A0009"/>
    <w:rsid w:val="002A0203"/>
    <w:rsid w:val="002A589F"/>
    <w:rsid w:val="002B03D1"/>
    <w:rsid w:val="002B5A22"/>
    <w:rsid w:val="002B5BD6"/>
    <w:rsid w:val="002C3FA4"/>
    <w:rsid w:val="002C4B2D"/>
    <w:rsid w:val="002E11A2"/>
    <w:rsid w:val="002F08FC"/>
    <w:rsid w:val="002F13BA"/>
    <w:rsid w:val="002F1DC7"/>
    <w:rsid w:val="002F2506"/>
    <w:rsid w:val="00304A7D"/>
    <w:rsid w:val="003122E8"/>
    <w:rsid w:val="00317F52"/>
    <w:rsid w:val="003200E6"/>
    <w:rsid w:val="00320C32"/>
    <w:rsid w:val="00321928"/>
    <w:rsid w:val="00325272"/>
    <w:rsid w:val="00326203"/>
    <w:rsid w:val="00333D66"/>
    <w:rsid w:val="003413E5"/>
    <w:rsid w:val="00345C8C"/>
    <w:rsid w:val="00352D80"/>
    <w:rsid w:val="00365DEF"/>
    <w:rsid w:val="00366ACB"/>
    <w:rsid w:val="00370EA0"/>
    <w:rsid w:val="00374581"/>
    <w:rsid w:val="00374901"/>
    <w:rsid w:val="003751F7"/>
    <w:rsid w:val="003831C1"/>
    <w:rsid w:val="003A3179"/>
    <w:rsid w:val="003A7345"/>
    <w:rsid w:val="003C126A"/>
    <w:rsid w:val="003D2A41"/>
    <w:rsid w:val="003D4F82"/>
    <w:rsid w:val="003D63B0"/>
    <w:rsid w:val="003E451E"/>
    <w:rsid w:val="0040188B"/>
    <w:rsid w:val="00403FFE"/>
    <w:rsid w:val="004107C8"/>
    <w:rsid w:val="004159E3"/>
    <w:rsid w:val="00421EA3"/>
    <w:rsid w:val="00440665"/>
    <w:rsid w:val="004562E3"/>
    <w:rsid w:val="00460344"/>
    <w:rsid w:val="00464AD1"/>
    <w:rsid w:val="0048043F"/>
    <w:rsid w:val="004841B4"/>
    <w:rsid w:val="00497FE3"/>
    <w:rsid w:val="004A02AE"/>
    <w:rsid w:val="004A33D0"/>
    <w:rsid w:val="004B0B35"/>
    <w:rsid w:val="004C278F"/>
    <w:rsid w:val="004C33C5"/>
    <w:rsid w:val="004C3A81"/>
    <w:rsid w:val="004C4727"/>
    <w:rsid w:val="004D2115"/>
    <w:rsid w:val="004D4DF7"/>
    <w:rsid w:val="004D60E3"/>
    <w:rsid w:val="004D72CE"/>
    <w:rsid w:val="004E2F5F"/>
    <w:rsid w:val="004E5092"/>
    <w:rsid w:val="004F1017"/>
    <w:rsid w:val="004F5C5D"/>
    <w:rsid w:val="004F72C7"/>
    <w:rsid w:val="004F7896"/>
    <w:rsid w:val="00503E0A"/>
    <w:rsid w:val="0050664A"/>
    <w:rsid w:val="0051600B"/>
    <w:rsid w:val="005175AA"/>
    <w:rsid w:val="00523BB8"/>
    <w:rsid w:val="005272DC"/>
    <w:rsid w:val="00527991"/>
    <w:rsid w:val="0053492E"/>
    <w:rsid w:val="00535EA8"/>
    <w:rsid w:val="00562C18"/>
    <w:rsid w:val="005659E1"/>
    <w:rsid w:val="0057144A"/>
    <w:rsid w:val="005746DB"/>
    <w:rsid w:val="00590A06"/>
    <w:rsid w:val="00594AE9"/>
    <w:rsid w:val="005A22EB"/>
    <w:rsid w:val="005B034B"/>
    <w:rsid w:val="005B140C"/>
    <w:rsid w:val="005B183D"/>
    <w:rsid w:val="005B3DAD"/>
    <w:rsid w:val="005C7609"/>
    <w:rsid w:val="005D602A"/>
    <w:rsid w:val="005D6960"/>
    <w:rsid w:val="005E1342"/>
    <w:rsid w:val="00603481"/>
    <w:rsid w:val="0061286C"/>
    <w:rsid w:val="00615E85"/>
    <w:rsid w:val="00621A2E"/>
    <w:rsid w:val="006249E7"/>
    <w:rsid w:val="00632486"/>
    <w:rsid w:val="006355FB"/>
    <w:rsid w:val="00660679"/>
    <w:rsid w:val="00664672"/>
    <w:rsid w:val="006669BA"/>
    <w:rsid w:val="006758E1"/>
    <w:rsid w:val="0068209A"/>
    <w:rsid w:val="00683516"/>
    <w:rsid w:val="00683D21"/>
    <w:rsid w:val="00683E18"/>
    <w:rsid w:val="00693D54"/>
    <w:rsid w:val="006A2F60"/>
    <w:rsid w:val="006B4890"/>
    <w:rsid w:val="006B7753"/>
    <w:rsid w:val="006B7ED7"/>
    <w:rsid w:val="006C6022"/>
    <w:rsid w:val="006D3E4E"/>
    <w:rsid w:val="006E0064"/>
    <w:rsid w:val="006E169F"/>
    <w:rsid w:val="006F08C3"/>
    <w:rsid w:val="006F560B"/>
    <w:rsid w:val="00702DEB"/>
    <w:rsid w:val="0070523B"/>
    <w:rsid w:val="00713942"/>
    <w:rsid w:val="007147BA"/>
    <w:rsid w:val="00725BFF"/>
    <w:rsid w:val="0073686B"/>
    <w:rsid w:val="00740CBE"/>
    <w:rsid w:val="00741A90"/>
    <w:rsid w:val="00742071"/>
    <w:rsid w:val="0074649C"/>
    <w:rsid w:val="00756173"/>
    <w:rsid w:val="00756508"/>
    <w:rsid w:val="00764480"/>
    <w:rsid w:val="007646EF"/>
    <w:rsid w:val="00764751"/>
    <w:rsid w:val="0078255B"/>
    <w:rsid w:val="00784C64"/>
    <w:rsid w:val="00790FDB"/>
    <w:rsid w:val="007B5FFA"/>
    <w:rsid w:val="007B7017"/>
    <w:rsid w:val="007C2808"/>
    <w:rsid w:val="007C6AEF"/>
    <w:rsid w:val="007D7495"/>
    <w:rsid w:val="007E09BC"/>
    <w:rsid w:val="008052E4"/>
    <w:rsid w:val="00817DC9"/>
    <w:rsid w:val="00824741"/>
    <w:rsid w:val="0082637B"/>
    <w:rsid w:val="008330A7"/>
    <w:rsid w:val="00840CD9"/>
    <w:rsid w:val="0084477F"/>
    <w:rsid w:val="00847864"/>
    <w:rsid w:val="00851632"/>
    <w:rsid w:val="00853E54"/>
    <w:rsid w:val="00861563"/>
    <w:rsid w:val="008629B5"/>
    <w:rsid w:val="00875E16"/>
    <w:rsid w:val="00877A3D"/>
    <w:rsid w:val="008813D0"/>
    <w:rsid w:val="0088776A"/>
    <w:rsid w:val="008A3315"/>
    <w:rsid w:val="008B1D17"/>
    <w:rsid w:val="008B69B1"/>
    <w:rsid w:val="008B6FD3"/>
    <w:rsid w:val="008C3136"/>
    <w:rsid w:val="008E420A"/>
    <w:rsid w:val="008E6FB4"/>
    <w:rsid w:val="008E7A4B"/>
    <w:rsid w:val="008F31E1"/>
    <w:rsid w:val="008F5C0E"/>
    <w:rsid w:val="00902D71"/>
    <w:rsid w:val="009138C5"/>
    <w:rsid w:val="00915607"/>
    <w:rsid w:val="009276E4"/>
    <w:rsid w:val="00931E19"/>
    <w:rsid w:val="00937B9D"/>
    <w:rsid w:val="00940211"/>
    <w:rsid w:val="00940C5D"/>
    <w:rsid w:val="00953CFC"/>
    <w:rsid w:val="00984E46"/>
    <w:rsid w:val="00990962"/>
    <w:rsid w:val="009A35A1"/>
    <w:rsid w:val="009B2191"/>
    <w:rsid w:val="009B6957"/>
    <w:rsid w:val="009C0137"/>
    <w:rsid w:val="009E2FE2"/>
    <w:rsid w:val="009F1AA2"/>
    <w:rsid w:val="009F2E3B"/>
    <w:rsid w:val="009F43C4"/>
    <w:rsid w:val="00A02913"/>
    <w:rsid w:val="00A03667"/>
    <w:rsid w:val="00A1364E"/>
    <w:rsid w:val="00A1389B"/>
    <w:rsid w:val="00A226DE"/>
    <w:rsid w:val="00A23CD5"/>
    <w:rsid w:val="00A24FDA"/>
    <w:rsid w:val="00A30C31"/>
    <w:rsid w:val="00A33530"/>
    <w:rsid w:val="00A42041"/>
    <w:rsid w:val="00A521F7"/>
    <w:rsid w:val="00A65769"/>
    <w:rsid w:val="00A7105F"/>
    <w:rsid w:val="00A71ACA"/>
    <w:rsid w:val="00A80CBD"/>
    <w:rsid w:val="00A86D44"/>
    <w:rsid w:val="00A96E8D"/>
    <w:rsid w:val="00AA5C8E"/>
    <w:rsid w:val="00AB25E1"/>
    <w:rsid w:val="00AB2FAF"/>
    <w:rsid w:val="00AB494C"/>
    <w:rsid w:val="00AB51BD"/>
    <w:rsid w:val="00AC0142"/>
    <w:rsid w:val="00AD0E64"/>
    <w:rsid w:val="00AD6429"/>
    <w:rsid w:val="00AE16DC"/>
    <w:rsid w:val="00AE3D06"/>
    <w:rsid w:val="00AE6064"/>
    <w:rsid w:val="00AF6F1E"/>
    <w:rsid w:val="00B0219F"/>
    <w:rsid w:val="00B023BA"/>
    <w:rsid w:val="00B0678A"/>
    <w:rsid w:val="00B316D5"/>
    <w:rsid w:val="00B3183D"/>
    <w:rsid w:val="00B40507"/>
    <w:rsid w:val="00B41A06"/>
    <w:rsid w:val="00B51A0B"/>
    <w:rsid w:val="00B525A4"/>
    <w:rsid w:val="00B551CB"/>
    <w:rsid w:val="00B614FA"/>
    <w:rsid w:val="00B6368E"/>
    <w:rsid w:val="00B637BB"/>
    <w:rsid w:val="00B63861"/>
    <w:rsid w:val="00B63C07"/>
    <w:rsid w:val="00B66824"/>
    <w:rsid w:val="00B71ECF"/>
    <w:rsid w:val="00B7713D"/>
    <w:rsid w:val="00BA0695"/>
    <w:rsid w:val="00BB0CB3"/>
    <w:rsid w:val="00BB444E"/>
    <w:rsid w:val="00BB5DBD"/>
    <w:rsid w:val="00BC03AE"/>
    <w:rsid w:val="00BC057B"/>
    <w:rsid w:val="00BC1EE5"/>
    <w:rsid w:val="00BC2495"/>
    <w:rsid w:val="00BD6772"/>
    <w:rsid w:val="00BF4C13"/>
    <w:rsid w:val="00C0677E"/>
    <w:rsid w:val="00C12985"/>
    <w:rsid w:val="00C1397F"/>
    <w:rsid w:val="00C22686"/>
    <w:rsid w:val="00C35C6F"/>
    <w:rsid w:val="00C40E29"/>
    <w:rsid w:val="00C425D0"/>
    <w:rsid w:val="00C43C43"/>
    <w:rsid w:val="00C50895"/>
    <w:rsid w:val="00C535F4"/>
    <w:rsid w:val="00C578B2"/>
    <w:rsid w:val="00C6268A"/>
    <w:rsid w:val="00C702C7"/>
    <w:rsid w:val="00C808A6"/>
    <w:rsid w:val="00C92952"/>
    <w:rsid w:val="00CA4F88"/>
    <w:rsid w:val="00CD430B"/>
    <w:rsid w:val="00CF43A1"/>
    <w:rsid w:val="00D04436"/>
    <w:rsid w:val="00D116C6"/>
    <w:rsid w:val="00D134EB"/>
    <w:rsid w:val="00D1352F"/>
    <w:rsid w:val="00D143EA"/>
    <w:rsid w:val="00D37DF8"/>
    <w:rsid w:val="00D4081C"/>
    <w:rsid w:val="00D53F3E"/>
    <w:rsid w:val="00D565F2"/>
    <w:rsid w:val="00D57AFE"/>
    <w:rsid w:val="00D70DBC"/>
    <w:rsid w:val="00D72008"/>
    <w:rsid w:val="00D922DB"/>
    <w:rsid w:val="00D93648"/>
    <w:rsid w:val="00DA37BD"/>
    <w:rsid w:val="00DA7C66"/>
    <w:rsid w:val="00DA7D0E"/>
    <w:rsid w:val="00DB48A9"/>
    <w:rsid w:val="00DB5280"/>
    <w:rsid w:val="00DE5593"/>
    <w:rsid w:val="00DE677A"/>
    <w:rsid w:val="00DF1CBB"/>
    <w:rsid w:val="00E016BF"/>
    <w:rsid w:val="00E102FB"/>
    <w:rsid w:val="00E10B3C"/>
    <w:rsid w:val="00E254A8"/>
    <w:rsid w:val="00E37FFB"/>
    <w:rsid w:val="00E408CB"/>
    <w:rsid w:val="00E5144F"/>
    <w:rsid w:val="00E516D1"/>
    <w:rsid w:val="00E526BE"/>
    <w:rsid w:val="00E56D7D"/>
    <w:rsid w:val="00E72900"/>
    <w:rsid w:val="00E75FA8"/>
    <w:rsid w:val="00E81CBE"/>
    <w:rsid w:val="00E83035"/>
    <w:rsid w:val="00E976D3"/>
    <w:rsid w:val="00EA3809"/>
    <w:rsid w:val="00EA5634"/>
    <w:rsid w:val="00EA7FC4"/>
    <w:rsid w:val="00EB4199"/>
    <w:rsid w:val="00EB4D79"/>
    <w:rsid w:val="00EB533E"/>
    <w:rsid w:val="00EC062F"/>
    <w:rsid w:val="00EC0BE3"/>
    <w:rsid w:val="00EC10C4"/>
    <w:rsid w:val="00ED62D6"/>
    <w:rsid w:val="00ED6DE8"/>
    <w:rsid w:val="00EE04E5"/>
    <w:rsid w:val="00EE5C31"/>
    <w:rsid w:val="00EE7188"/>
    <w:rsid w:val="00EE745C"/>
    <w:rsid w:val="00EF1047"/>
    <w:rsid w:val="00EF7650"/>
    <w:rsid w:val="00F0264F"/>
    <w:rsid w:val="00F04931"/>
    <w:rsid w:val="00F15AC0"/>
    <w:rsid w:val="00F15D89"/>
    <w:rsid w:val="00F24348"/>
    <w:rsid w:val="00F47742"/>
    <w:rsid w:val="00F47964"/>
    <w:rsid w:val="00F530D0"/>
    <w:rsid w:val="00F56D95"/>
    <w:rsid w:val="00F60198"/>
    <w:rsid w:val="00F61FAF"/>
    <w:rsid w:val="00F7678F"/>
    <w:rsid w:val="00F8313A"/>
    <w:rsid w:val="00F966C3"/>
    <w:rsid w:val="00F97284"/>
    <w:rsid w:val="00FA3980"/>
    <w:rsid w:val="00FA6639"/>
    <w:rsid w:val="00FB2AF3"/>
    <w:rsid w:val="00FB4948"/>
    <w:rsid w:val="00FC3217"/>
    <w:rsid w:val="00FC33F4"/>
    <w:rsid w:val="00FC67D2"/>
    <w:rsid w:val="00FD1CC6"/>
    <w:rsid w:val="00FD2B02"/>
    <w:rsid w:val="00FD4706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26F6A"/>
  <w15:docId w15:val="{100FFF72-77E1-7C40-BCFC-5FC12CA7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1FBF"/>
    <w:rPr>
      <w:rFonts w:ascii="Times New Roman" w:eastAsia="Times New Roman" w:hAnsi="Times New Roman" w:cs="Times New Roman"/>
    </w:rPr>
  </w:style>
  <w:style w:type="paragraph" w:styleId="berschrift1">
    <w:name w:val="heading 1"/>
    <w:basedOn w:val="Beschriftung"/>
    <w:next w:val="Standard"/>
    <w:link w:val="berschrift1Zchn"/>
    <w:autoRedefine/>
    <w:uiPriority w:val="9"/>
    <w:qFormat/>
    <w:rsid w:val="000B7CA6"/>
    <w:pPr>
      <w:keepNext/>
      <w:spacing w:line="276" w:lineRule="auto"/>
      <w:outlineLvl w:val="0"/>
    </w:pPr>
    <w:rPr>
      <w:rFonts w:eastAsia="SimSun" w:cs="SimSun"/>
      <w:b/>
      <w:i w:val="0"/>
      <w:color w:val="000000" w:themeColor="text1"/>
      <w:sz w:val="24"/>
      <w:szCs w:val="22"/>
    </w:rPr>
  </w:style>
  <w:style w:type="paragraph" w:styleId="berschrift2">
    <w:name w:val="heading 2"/>
    <w:basedOn w:val="Verzeichnis2"/>
    <w:link w:val="berschrift2Zchn"/>
    <w:autoRedefine/>
    <w:uiPriority w:val="9"/>
    <w:unhideWhenUsed/>
    <w:qFormat/>
    <w:rsid w:val="000B7CA6"/>
    <w:pPr>
      <w:tabs>
        <w:tab w:val="left" w:pos="960"/>
        <w:tab w:val="right" w:leader="dot" w:pos="8290"/>
      </w:tabs>
      <w:spacing w:before="120" w:after="120"/>
      <w:ind w:left="576" w:hanging="576"/>
      <w:outlineLvl w:val="1"/>
    </w:pPr>
    <w:rPr>
      <w:b/>
      <w:iCs/>
      <w:noProof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7C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B69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69B1"/>
    <w:pPr>
      <w:keepNext/>
      <w:keepLines/>
      <w:spacing w:before="280" w:after="290"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296" w:hanging="1296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440" w:hanging="144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584" w:hanging="1584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B7CA6"/>
    <w:rPr>
      <w:rFonts w:ascii="Times New Roman" w:eastAsia="Times New Roman" w:hAnsi="Times New Roman" w:cs="Times New Roman"/>
      <w:b/>
      <w:i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8209A"/>
    <w:pPr>
      <w:spacing w:after="100"/>
      <w:ind w:left="24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7CA6"/>
    <w:rPr>
      <w:rFonts w:ascii="Times New Roman" w:eastAsia="SimSun" w:hAnsi="Times New Roman" w:cs="SimSun"/>
      <w:b/>
      <w:iCs/>
      <w:color w:val="000000" w:themeColor="text1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7CA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0B7CA6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9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69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69B1"/>
    <w:rPr>
      <w:rFonts w:asciiTheme="majorHAnsi" w:eastAsiaTheme="majorEastAsia" w:hAnsiTheme="majorHAnsi"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69B1"/>
    <w:rPr>
      <w:rFonts w:ascii="Times New Roman" w:eastAsia="Times New Roman" w:hAnsi="Times New Roman" w:cs="Times New Roman"/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69B1"/>
    <w:rPr>
      <w:rFonts w:asciiTheme="majorHAnsi" w:eastAsiaTheme="majorEastAsia" w:hAnsiTheme="majorHAnsi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69B1"/>
    <w:rPr>
      <w:rFonts w:asciiTheme="majorHAnsi" w:eastAsiaTheme="majorEastAsia" w:hAnsiTheme="majorHAnsi" w:cstheme="majorBidi"/>
      <w:sz w:val="21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8B69B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69B1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8B69B1"/>
  </w:style>
  <w:style w:type="character" w:styleId="Kommentarzeichen">
    <w:name w:val="annotation reference"/>
    <w:basedOn w:val="Absatz-Standardschriftart"/>
    <w:uiPriority w:val="99"/>
    <w:semiHidden/>
    <w:unhideWhenUsed/>
    <w:rsid w:val="008B69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9B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9B1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9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9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9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9B1"/>
    <w:rPr>
      <w:rFonts w:ascii="Segoe UI" w:eastAsia="Times New Roman" w:hAnsi="Segoe UI" w:cs="Segoe UI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Char"/>
    <w:rsid w:val="008B69B1"/>
    <w:pPr>
      <w:jc w:val="center"/>
    </w:pPr>
    <w:rPr>
      <w:rFonts w:eastAsiaTheme="minorEastAsia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8B69B1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Standard"/>
    <w:link w:val="EndNoteBibliographyChar"/>
    <w:rsid w:val="008B69B1"/>
    <w:pPr>
      <w:spacing w:after="80"/>
    </w:pPr>
    <w:rPr>
      <w:rFonts w:eastAsiaTheme="minorEastAsia"/>
    </w:rPr>
  </w:style>
  <w:style w:type="character" w:customStyle="1" w:styleId="EndNoteBibliographyChar">
    <w:name w:val="EndNote Bibliography Char"/>
    <w:basedOn w:val="Absatz-Standardschriftart"/>
    <w:link w:val="EndNoteBibliography"/>
    <w:rsid w:val="008B69B1"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8B69B1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8B69B1"/>
  </w:style>
  <w:style w:type="character" w:styleId="Zeilennummer">
    <w:name w:val="line number"/>
    <w:basedOn w:val="Absatz-Standardschriftart"/>
    <w:uiPriority w:val="99"/>
    <w:semiHidden/>
    <w:unhideWhenUsed/>
    <w:rsid w:val="008B69B1"/>
  </w:style>
  <w:style w:type="table" w:styleId="Tabellenraster">
    <w:name w:val="Table Grid"/>
    <w:basedOn w:val="NormaleTabelle"/>
    <w:uiPriority w:val="39"/>
    <w:rsid w:val="008B6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B69B1"/>
    <w:pPr>
      <w:spacing w:before="100" w:beforeAutospacing="1" w:after="100" w:afterAutospacing="1"/>
    </w:pPr>
  </w:style>
  <w:style w:type="character" w:customStyle="1" w:styleId="EndNoteBibliography0">
    <w:name w:val="EndNote Bibliography 字符"/>
    <w:basedOn w:val="Absatz-Standardschriftart"/>
    <w:rsid w:val="008B69B1"/>
  </w:style>
  <w:style w:type="paragraph" w:styleId="berarbeitung">
    <w:name w:val="Revision"/>
    <w:hidden/>
    <w:uiPriority w:val="99"/>
    <w:semiHidden/>
    <w:rsid w:val="008B69B1"/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8B69B1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B69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B69B1"/>
    <w:rPr>
      <w:color w:val="954F72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B69B1"/>
    <w:pPr>
      <w:tabs>
        <w:tab w:val="right" w:leader="dot" w:pos="8290"/>
      </w:tabs>
      <w:spacing w:before="120"/>
    </w:pPr>
    <w:rPr>
      <w:rFonts w:eastAsiaTheme="minorHAnsi"/>
      <w:b/>
      <w:bCs/>
      <w:iCs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B69B1"/>
    <w:pPr>
      <w:ind w:left="480"/>
    </w:pPr>
    <w:rPr>
      <w:rFonts w:asciiTheme="minorHAnsi" w:eastAsiaTheme="minorHAnsi"/>
      <w:sz w:val="20"/>
      <w:szCs w:val="20"/>
    </w:rPr>
  </w:style>
  <w:style w:type="character" w:customStyle="1" w:styleId="EndNoteBibliographyTitle0">
    <w:name w:val="EndNote Bibliography Title 字符"/>
    <w:basedOn w:val="Absatz-Standardschriftart"/>
    <w:rsid w:val="008B69B1"/>
    <w:rPr>
      <w:rFonts w:ascii="Times New Roman" w:eastAsia="Times New Roman" w:hAnsi="Times New Roman" w:cs="Times New Roman"/>
    </w:rPr>
  </w:style>
  <w:style w:type="character" w:styleId="Platzhaltertext">
    <w:name w:val="Placeholder Text"/>
    <w:basedOn w:val="Absatz-Standardschriftart"/>
    <w:uiPriority w:val="99"/>
    <w:semiHidden/>
    <w:rsid w:val="008B69B1"/>
    <w:rPr>
      <w:color w:val="808080"/>
    </w:r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8B69B1"/>
    <w:pPr>
      <w:ind w:left="720"/>
    </w:pPr>
    <w:rPr>
      <w:rFonts w:asciiTheme="minorHAnsi" w:eastAsia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B69B1"/>
    <w:pPr>
      <w:ind w:left="960"/>
    </w:pPr>
    <w:rPr>
      <w:rFonts w:asciiTheme="minorHAnsi" w:eastAsia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B69B1"/>
    <w:pPr>
      <w:ind w:left="1200"/>
    </w:pPr>
    <w:rPr>
      <w:rFonts w:asciiTheme="minorHAnsi" w:eastAsia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B69B1"/>
    <w:pPr>
      <w:ind w:left="1440"/>
    </w:pPr>
    <w:rPr>
      <w:rFonts w:asciiTheme="minorHAnsi" w:eastAsia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B69B1"/>
    <w:pPr>
      <w:ind w:left="1680"/>
    </w:pPr>
    <w:rPr>
      <w:rFonts w:asciiTheme="minorHAnsi" w:eastAsia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B69B1"/>
    <w:pPr>
      <w:ind w:left="1920"/>
    </w:pPr>
    <w:rPr>
      <w:rFonts w:asciiTheme="minorHAnsi" w:eastAsiaTheme="minorHAnsi"/>
      <w:sz w:val="20"/>
      <w:szCs w:val="20"/>
    </w:rPr>
  </w:style>
  <w:style w:type="paragraph" w:customStyle="1" w:styleId="Default">
    <w:name w:val="Default"/>
    <w:rsid w:val="008B69B1"/>
    <w:pPr>
      <w:autoSpaceDE w:val="0"/>
      <w:autoSpaceDN w:val="0"/>
      <w:adjustRightInd w:val="0"/>
      <w:spacing w:after="80"/>
    </w:pPr>
    <w:rPr>
      <w:rFonts w:ascii="Times New Roman" w:hAnsi="Times New Roman" w:cs="Times New Roman"/>
      <w:bCs/>
      <w:color w:val="000000"/>
      <w:lang w:val="en-GB" w:eastAsia="en-US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B69B1"/>
    <w:pPr>
      <w:ind w:leftChars="2500" w:left="100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8B69B1"/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B6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8B69B1"/>
    <w:rPr>
      <w:rFonts w:ascii="Times New Roman" w:eastAsia="Times New Roman" w:hAnsi="Times New Roman" w:cs="Times New Roman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8B69B1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69B1"/>
    <w:pPr>
      <w:keepNext w:val="0"/>
      <w:spacing w:before="480"/>
      <w:ind w:right="-14"/>
      <w:outlineLvl w:val="9"/>
    </w:pPr>
    <w:rPr>
      <w:b w:val="0"/>
      <w:bCs/>
      <w:sz w:val="28"/>
      <w:szCs w:val="28"/>
    </w:rPr>
  </w:style>
  <w:style w:type="numbering" w:customStyle="1" w:styleId="1">
    <w:name w:val="样式1"/>
    <w:uiPriority w:val="99"/>
    <w:rsid w:val="008B69B1"/>
    <w:pPr>
      <w:numPr>
        <w:numId w:val="8"/>
      </w:numPr>
    </w:pPr>
  </w:style>
  <w:style w:type="numbering" w:customStyle="1" w:styleId="2">
    <w:name w:val="样式2"/>
    <w:uiPriority w:val="99"/>
    <w:rsid w:val="008B69B1"/>
    <w:pPr>
      <w:numPr>
        <w:numId w:val="9"/>
      </w:numPr>
    </w:pPr>
  </w:style>
  <w:style w:type="character" w:customStyle="1" w:styleId="hithilite">
    <w:name w:val="hithilite"/>
    <w:basedOn w:val="Absatz-Standardschriftart"/>
    <w:rsid w:val="008B69B1"/>
  </w:style>
  <w:style w:type="paragraph" w:styleId="Abbildungsverzeichnis">
    <w:name w:val="table of figures"/>
    <w:basedOn w:val="Standard"/>
    <w:next w:val="Standard"/>
    <w:uiPriority w:val="99"/>
    <w:unhideWhenUsed/>
    <w:rsid w:val="008B69B1"/>
    <w:pPr>
      <w:ind w:left="480" w:hanging="480"/>
    </w:pPr>
    <w:rPr>
      <w:rFonts w:asciiTheme="minorHAnsi" w:eastAsiaTheme="minorHAnsi"/>
      <w:smallCaps/>
      <w:sz w:val="20"/>
      <w:szCs w:val="20"/>
    </w:rPr>
  </w:style>
  <w:style w:type="table" w:customStyle="1" w:styleId="GridTable21">
    <w:name w:val="Grid Table 21"/>
    <w:basedOn w:val="NormaleTabelle"/>
    <w:uiPriority w:val="47"/>
    <w:rsid w:val="008B69B1"/>
    <w:pPr>
      <w:spacing w:after="80"/>
    </w:pPr>
    <w:rPr>
      <w:rFonts w:ascii="Times New Roman" w:hAnsi="Times New Roman" w:cs="Times New Roman"/>
      <w:bCs/>
      <w:color w:val="000000" w:themeColor="text1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CategoryHeading">
    <w:name w:val="EndNote Category Heading"/>
    <w:basedOn w:val="Standard"/>
    <w:link w:val="EndNoteCategoryHeadingChar"/>
    <w:rsid w:val="008B69B1"/>
    <w:pPr>
      <w:spacing w:before="120" w:after="120"/>
    </w:pPr>
    <w:rPr>
      <w:b/>
    </w:rPr>
  </w:style>
  <w:style w:type="character" w:customStyle="1" w:styleId="EndNoteCategoryHeadingChar">
    <w:name w:val="EndNote Category Heading Char"/>
    <w:basedOn w:val="Absatz-Standardschriftart"/>
    <w:link w:val="EndNoteCategoryHeading"/>
    <w:rsid w:val="008B69B1"/>
    <w:rPr>
      <w:rFonts w:ascii="Times New Roman" w:eastAsia="Times New Roman" w:hAnsi="Times New Roman" w:cs="Times New Roman"/>
      <w:b/>
    </w:rPr>
  </w:style>
  <w:style w:type="character" w:customStyle="1" w:styleId="moreauthors">
    <w:name w:val="moreauthors"/>
    <w:basedOn w:val="Absatz-Standardschriftart"/>
    <w:rsid w:val="008B69B1"/>
  </w:style>
  <w:style w:type="character" w:customStyle="1" w:styleId="type1">
    <w:name w:val="type1"/>
    <w:basedOn w:val="Absatz-Standardschriftart"/>
    <w:rsid w:val="008B69B1"/>
    <w:rPr>
      <w:b/>
      <w:bCs/>
    </w:rPr>
  </w:style>
  <w:style w:type="character" w:customStyle="1" w:styleId="highwire-citation-authors">
    <w:name w:val="highwire-citation-authors"/>
    <w:basedOn w:val="Absatz-Standardschriftart"/>
    <w:rsid w:val="008B69B1"/>
  </w:style>
  <w:style w:type="character" w:customStyle="1" w:styleId="highwire-citation-author2">
    <w:name w:val="highwire-citation-author2"/>
    <w:basedOn w:val="Absatz-Standardschriftart"/>
    <w:rsid w:val="008B69B1"/>
  </w:style>
  <w:style w:type="paragraph" w:styleId="KeinLeerraum">
    <w:name w:val="No Spacing"/>
    <w:uiPriority w:val="1"/>
    <w:qFormat/>
    <w:rsid w:val="008B69B1"/>
    <w:pPr>
      <w:spacing w:after="80"/>
    </w:pPr>
    <w:rPr>
      <w:rFonts w:ascii="Times New Roman" w:eastAsia="Times New Roman" w:hAnsi="Times New Roman" w:cs="Times New Roman"/>
      <w:bCs/>
      <w:color w:val="000000" w:themeColor="text1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8B69B1"/>
    <w:rPr>
      <w:color w:val="605E5C"/>
      <w:shd w:val="clear" w:color="auto" w:fill="E1DFDD"/>
    </w:rPr>
  </w:style>
  <w:style w:type="paragraph" w:customStyle="1" w:styleId="nova-e-listitem">
    <w:name w:val="nova-e-list__item"/>
    <w:basedOn w:val="Standard"/>
    <w:rsid w:val="008B69B1"/>
    <w:pPr>
      <w:spacing w:before="100" w:beforeAutospacing="1" w:after="100" w:afterAutospacing="1"/>
    </w:pPr>
    <w:rPr>
      <w:bCs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8B69B1"/>
    <w:rPr>
      <w:color w:val="605E5C"/>
      <w:shd w:val="clear" w:color="auto" w:fill="E1DFDD"/>
    </w:rPr>
  </w:style>
  <w:style w:type="character" w:customStyle="1" w:styleId="u-visually-hidden">
    <w:name w:val="u-visually-hidden"/>
    <w:basedOn w:val="Absatz-Standardschriftart"/>
    <w:rsid w:val="00FF1FBF"/>
  </w:style>
  <w:style w:type="character" w:customStyle="1" w:styleId="BeschriftungZchn">
    <w:name w:val="Beschriftung Zchn"/>
    <w:basedOn w:val="Absatz-Standardschriftart"/>
    <w:link w:val="Beschriftung"/>
    <w:uiPriority w:val="35"/>
    <w:rsid w:val="00021787"/>
    <w:rPr>
      <w:rFonts w:ascii="Times New Roman" w:eastAsia="Times New Roman" w:hAnsi="Times New Roman" w:cs="Times New Roman"/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02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A12B00-2DE9-481F-AAAE-E68B5152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Sasse, Christoph</cp:lastModifiedBy>
  <cp:revision>3</cp:revision>
  <cp:lastPrinted>2021-01-26T08:43:00Z</cp:lastPrinted>
  <dcterms:created xsi:type="dcterms:W3CDTF">2021-07-13T07:27:00Z</dcterms:created>
  <dcterms:modified xsi:type="dcterms:W3CDTF">2021-08-23T11:17:00Z</dcterms:modified>
</cp:coreProperties>
</file>