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3C22" w:rsidRPr="007D3739" w:rsidRDefault="0028612B" w:rsidP="006E3C22">
      <w:pPr>
        <w:pStyle w:val="FigureLegends"/>
        <w:spacing w:after="240"/>
        <w:rPr>
          <w:lang w:val="en-US"/>
        </w:rPr>
      </w:pPr>
      <w:r>
        <w:rPr>
          <w:b/>
          <w:bCs/>
          <w:lang w:val="en-US"/>
        </w:rPr>
        <w:t>Supplementary File 1</w:t>
      </w:r>
      <w:r>
        <w:rPr>
          <w:b/>
          <w:bCs/>
          <w:lang w:val="en-US"/>
        </w:rPr>
        <w:t>1</w:t>
      </w:r>
      <w:r w:rsidR="006E3C22" w:rsidRPr="007D3739">
        <w:rPr>
          <w:b/>
          <w:bCs/>
          <w:lang w:val="en-US"/>
        </w:rPr>
        <w:t xml:space="preserve">. </w:t>
      </w:r>
      <w:r w:rsidR="006E3C22" w:rsidRPr="00B83FFD">
        <w:rPr>
          <w:b/>
          <w:bCs/>
          <w:lang w:val="en-US"/>
        </w:rPr>
        <w:t xml:space="preserve">Phylogenetically independent meta-analysis of </w:t>
      </w:r>
      <w:proofErr w:type="spellStart"/>
      <w:r w:rsidR="006E3C22" w:rsidRPr="00B83FFD">
        <w:rPr>
          <w:b/>
          <w:bCs/>
          <w:lang w:val="en-US"/>
        </w:rPr>
        <w:t>lnCVR</w:t>
      </w:r>
      <w:proofErr w:type="spellEnd"/>
      <w:r w:rsidR="006E3C22" w:rsidRPr="00B83FFD">
        <w:rPr>
          <w:b/>
          <w:bCs/>
          <w:lang w:val="en-US"/>
        </w:rPr>
        <w:t xml:space="preserve"> defined as the log-transformed ratio of male to female coefficient of phenotypic variation.</w:t>
      </w:r>
      <w:r w:rsidR="006E3C22" w:rsidRPr="007D3739">
        <w:rPr>
          <w:lang w:val="en-US"/>
        </w:rPr>
        <w:t xml:space="preserve"> Models shown are testing for (a) the intercept across mating systems (i.e.</w:t>
      </w:r>
      <w:r w:rsidR="006E3C22">
        <w:rPr>
          <w:lang w:val="en-US"/>
        </w:rPr>
        <w:t>,</w:t>
      </w:r>
      <w:r w:rsidR="006E3C22" w:rsidRPr="007D3739">
        <w:rPr>
          <w:lang w:val="en-US"/>
        </w:rPr>
        <w:t xml:space="preserve"> global effect size with positive values indicating a male bias), (b) with mating system as moderator variable and separately for (c) monogamous and (d) polygamous species. Results </w:t>
      </w:r>
      <w:r w:rsidR="006E3C22">
        <w:rPr>
          <w:lang w:val="en-US"/>
        </w:rPr>
        <w:t>are</w:t>
      </w:r>
      <w:r w:rsidR="006E3C22" w:rsidRPr="007D3739">
        <w:rPr>
          <w:lang w:val="en-US"/>
        </w:rPr>
        <w:t xml:space="preserve"> shown</w:t>
      </w:r>
      <w:r w:rsidR="006E3C22">
        <w:rPr>
          <w:lang w:val="en-US"/>
        </w:rPr>
        <w:t xml:space="preserve"> </w:t>
      </w:r>
      <w:r w:rsidR="006E3C22" w:rsidRPr="007D3739">
        <w:rPr>
          <w:lang w:val="en-US"/>
        </w:rPr>
        <w:t xml:space="preserve">for reproductive success (RS) and lifespan (LS). Estimates are shown as </w:t>
      </w:r>
      <w:r w:rsidR="006E3C22">
        <w:rPr>
          <w:lang w:val="en-US"/>
        </w:rPr>
        <w:t xml:space="preserve">posterior </w:t>
      </w:r>
      <w:r w:rsidR="006E3C22" w:rsidRPr="007D3739">
        <w:rPr>
          <w:lang w:val="en-US"/>
        </w:rPr>
        <w:t xml:space="preserve">means with </w:t>
      </w:r>
      <w:r w:rsidR="006E3C22">
        <w:rPr>
          <w:lang w:val="en-US"/>
        </w:rPr>
        <w:t xml:space="preserve">95% </w:t>
      </w:r>
      <w:r w:rsidR="006E3C22" w:rsidRPr="007D3739">
        <w:rPr>
          <w:lang w:val="en-US"/>
        </w:rPr>
        <w:t>Highest Posterior Density (HPD) intervals.</w:t>
      </w:r>
      <w:r w:rsidR="006E3C22">
        <w:rPr>
          <w:lang w:val="en-US"/>
        </w:rPr>
        <w:t xml:space="preserve"> </w:t>
      </w:r>
      <w:r w:rsidR="006E3C22" w:rsidRPr="004F6985">
        <w:rPr>
          <w:i/>
        </w:rPr>
        <w:t>P</w:t>
      </w:r>
      <w:r w:rsidR="006E3C22" w:rsidRPr="004F6985">
        <w:rPr>
          <w:vertAlign w:val="subscript"/>
        </w:rPr>
        <w:t>MCMC</w:t>
      </w:r>
      <w:r w:rsidR="006E3C22">
        <w:t xml:space="preserve"> is the</w:t>
      </w:r>
      <w:r w:rsidR="006E3C22" w:rsidRPr="00000E8B">
        <w:t xml:space="preserve"> probability of the posteriors including zero</w:t>
      </w:r>
      <w:r w:rsidR="006E3C22">
        <w:t>.</w:t>
      </w:r>
    </w:p>
    <w:tbl>
      <w:tblPr>
        <w:tblW w:w="7355" w:type="dxa"/>
        <w:tblLayout w:type="fixed"/>
        <w:tblLook w:val="04A0" w:firstRow="1" w:lastRow="0" w:firstColumn="1" w:lastColumn="0" w:noHBand="0" w:noVBand="1"/>
      </w:tblPr>
      <w:tblGrid>
        <w:gridCol w:w="1834"/>
        <w:gridCol w:w="1843"/>
        <w:gridCol w:w="859"/>
        <w:gridCol w:w="993"/>
        <w:gridCol w:w="850"/>
        <w:gridCol w:w="976"/>
      </w:tblGrid>
      <w:tr w:rsidR="006E3C22" w:rsidRPr="00C61AB2" w:rsidTr="00BC7680">
        <w:trPr>
          <w:trHeight w:val="320"/>
        </w:trPr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C61AB2">
              <w:rPr>
                <w:rFonts w:ascii="Calibri Light" w:hAnsi="Calibri Light" w:cs="Calibri Light"/>
                <w:color w:val="000000"/>
                <w:lang w:val="en-US"/>
              </w:rPr>
              <w:t xml:space="preserve">Response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C61AB2">
              <w:rPr>
                <w:rFonts w:ascii="Calibri Light" w:hAnsi="Calibri Light" w:cs="Calibri Light"/>
                <w:color w:val="000000"/>
                <w:lang w:val="en-US"/>
              </w:rPr>
              <w:t>Predictor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C61AB2">
              <w:rPr>
                <w:rFonts w:ascii="Calibri Light" w:hAnsi="Calibri Light" w:cs="Calibri Light"/>
                <w:color w:val="000000"/>
                <w:lang w:val="en-US"/>
              </w:rPr>
              <w:t>Estimate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B436C8">
              <w:rPr>
                <w:rFonts w:ascii="Calibri Light" w:hAnsi="Calibri Light" w:cs="Calibri Light"/>
                <w:i/>
                <w:iCs/>
                <w:color w:val="000000"/>
                <w:lang w:val="en-US"/>
              </w:rPr>
              <w:t>P</w:t>
            </w:r>
            <w:r w:rsidRPr="00C61AB2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MCMC</w:t>
            </w:r>
          </w:p>
        </w:tc>
      </w:tr>
      <w:tr w:rsidR="006E3C22" w:rsidRPr="00C61AB2" w:rsidTr="00BC7680">
        <w:trPr>
          <w:trHeight w:val="320"/>
        </w:trPr>
        <w:tc>
          <w:tcPr>
            <w:tcW w:w="36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C61AB2">
              <w:rPr>
                <w:rFonts w:ascii="Calibri Light" w:hAnsi="Calibri Light" w:cs="Calibri Light"/>
                <w:color w:val="000000"/>
                <w:lang w:val="en-US"/>
              </w:rPr>
              <w:t>(a) Across mating systems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jc w:val="right"/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6E3C22" w:rsidRPr="00C61AB2" w:rsidTr="00BC7680">
        <w:trPr>
          <w:trHeight w:val="320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C61AB2">
              <w:rPr>
                <w:rFonts w:ascii="Calibri Light" w:hAnsi="Calibri Light" w:cs="Calibri Light"/>
                <w:color w:val="000000"/>
                <w:lang w:val="en-US"/>
              </w:rPr>
              <w:t>RS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  <w:lang w:val="en-US"/>
              </w:rPr>
              <w:t>Intercept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0.232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(-0.249,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0.705)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0.257</w:t>
            </w:r>
          </w:p>
        </w:tc>
      </w:tr>
      <w:tr w:rsidR="006E3C22" w:rsidRPr="00C61AB2" w:rsidTr="00BC7680">
        <w:trPr>
          <w:trHeight w:val="454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C61AB2">
              <w:rPr>
                <w:rFonts w:ascii="Calibri Light" w:hAnsi="Calibri Light" w:cs="Calibri Light"/>
                <w:color w:val="000000"/>
                <w:lang w:val="en-US"/>
              </w:rPr>
              <w:t>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  <w:lang w:val="en-US"/>
              </w:rPr>
              <w:t>Intercept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(-0.094,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0.151)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0.576</w:t>
            </w:r>
          </w:p>
        </w:tc>
      </w:tr>
      <w:tr w:rsidR="006E3C22" w:rsidRPr="00C61AB2" w:rsidTr="00BC7680">
        <w:trPr>
          <w:trHeight w:val="320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  <w:lang w:val="en-US"/>
              </w:rPr>
              <w:t>(b) Mating system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</w:p>
        </w:tc>
      </w:tr>
      <w:tr w:rsidR="006E3C22" w:rsidRPr="00C61AB2" w:rsidTr="00BC7680">
        <w:trPr>
          <w:trHeight w:val="320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C61AB2">
              <w:rPr>
                <w:rFonts w:ascii="Calibri Light" w:hAnsi="Calibri Light" w:cs="Calibri Light"/>
                <w:color w:val="000000"/>
                <w:lang w:val="en-US"/>
              </w:rPr>
              <w:t>RS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  <w:lang w:val="en-US"/>
              </w:rPr>
              <w:t>Intercept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-0.032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(-0.360,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0.266)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0.835</w:t>
            </w:r>
          </w:p>
        </w:tc>
      </w:tr>
      <w:tr w:rsidR="006E3C22" w:rsidRPr="00C61AB2" w:rsidTr="00BC7680">
        <w:trPr>
          <w:trHeight w:val="454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  <w:lang w:val="en-US"/>
              </w:rPr>
              <w:t>Mating system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0.363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(0.124,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0.624)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0.011</w:t>
            </w:r>
          </w:p>
        </w:tc>
      </w:tr>
      <w:tr w:rsidR="006E3C22" w:rsidRPr="00C61AB2" w:rsidTr="00BC7680">
        <w:trPr>
          <w:trHeight w:val="320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C61AB2">
              <w:rPr>
                <w:rFonts w:ascii="Calibri Light" w:hAnsi="Calibri Light" w:cs="Calibri Light"/>
                <w:color w:val="000000"/>
                <w:lang w:val="en-US"/>
              </w:rPr>
              <w:t>LS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  <w:lang w:val="en-US"/>
              </w:rPr>
              <w:t>Intercept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0.082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(-0.107,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0.275)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0.357</w:t>
            </w:r>
          </w:p>
        </w:tc>
      </w:tr>
      <w:tr w:rsidR="006E3C22" w:rsidRPr="00C61AB2" w:rsidTr="00BC7680">
        <w:trPr>
          <w:trHeight w:val="454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  <w:lang w:val="en-US"/>
              </w:rPr>
              <w:t>Mating system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-0.077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(-0.270,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0.129)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0.436</w:t>
            </w:r>
          </w:p>
        </w:tc>
      </w:tr>
      <w:tr w:rsidR="006E3C22" w:rsidRPr="00C61AB2" w:rsidTr="00BC7680">
        <w:trPr>
          <w:trHeight w:val="320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C61AB2">
              <w:rPr>
                <w:rFonts w:ascii="Calibri Light" w:hAnsi="Calibri Light" w:cs="Calibri Light"/>
                <w:color w:val="000000"/>
                <w:lang w:val="en-US"/>
              </w:rPr>
              <w:t>(c) Monogamy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</w:p>
        </w:tc>
      </w:tr>
      <w:tr w:rsidR="006E3C22" w:rsidRPr="00C61AB2" w:rsidTr="00BC7680">
        <w:trPr>
          <w:trHeight w:val="320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C61AB2">
              <w:rPr>
                <w:rFonts w:ascii="Calibri Light" w:hAnsi="Calibri Light" w:cs="Calibri Light"/>
                <w:color w:val="000000"/>
                <w:lang w:val="en-US"/>
              </w:rPr>
              <w:t>RS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  <w:lang w:val="en-US"/>
              </w:rPr>
              <w:t>Intercept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0.056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(-1.336,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1.470)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0.791</w:t>
            </w:r>
          </w:p>
        </w:tc>
      </w:tr>
      <w:tr w:rsidR="006E3C22" w:rsidRPr="00C61AB2" w:rsidTr="00BC7680">
        <w:trPr>
          <w:trHeight w:val="454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C61AB2">
              <w:rPr>
                <w:rFonts w:ascii="Calibri Light" w:hAnsi="Calibri Light" w:cs="Calibri Light"/>
                <w:color w:val="000000"/>
                <w:lang w:val="en-US"/>
              </w:rPr>
              <w:t>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  <w:lang w:val="en-US"/>
              </w:rPr>
              <w:t>Intercept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0.064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(-0.325,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0.454)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0.508</w:t>
            </w:r>
          </w:p>
        </w:tc>
      </w:tr>
      <w:tr w:rsidR="006E3C22" w:rsidRPr="00C61AB2" w:rsidTr="00BC7680">
        <w:trPr>
          <w:trHeight w:val="320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C61AB2">
              <w:rPr>
                <w:rFonts w:ascii="Calibri Light" w:hAnsi="Calibri Light" w:cs="Calibri Light"/>
                <w:color w:val="000000"/>
                <w:lang w:val="en-US"/>
              </w:rPr>
              <w:t>(d) Polygamy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</w:p>
        </w:tc>
      </w:tr>
      <w:tr w:rsidR="006E3C22" w:rsidRPr="00C61AB2" w:rsidTr="00BC7680">
        <w:trPr>
          <w:trHeight w:val="320"/>
        </w:trPr>
        <w:tc>
          <w:tcPr>
            <w:tcW w:w="18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C61AB2">
              <w:rPr>
                <w:rFonts w:ascii="Calibri Light" w:hAnsi="Calibri Light" w:cs="Calibri Light"/>
                <w:color w:val="000000"/>
                <w:lang w:val="en-US"/>
              </w:rPr>
              <w:t>RS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  <w:lang w:val="en-US"/>
              </w:rPr>
              <w:t>Intercept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0.326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(0.007,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0.612)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0.043</w:t>
            </w:r>
          </w:p>
        </w:tc>
      </w:tr>
      <w:tr w:rsidR="006E3C22" w:rsidRPr="00C61AB2" w:rsidTr="00BC7680">
        <w:trPr>
          <w:trHeight w:val="320"/>
        </w:trPr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C61AB2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C61AB2">
              <w:rPr>
                <w:rFonts w:ascii="Calibri Light" w:hAnsi="Calibri Light" w:cs="Calibri Light"/>
                <w:color w:val="000000"/>
                <w:lang w:val="en-US"/>
              </w:rPr>
              <w:t>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  <w:lang w:val="en-US"/>
              </w:rPr>
              <w:t>Intercept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(-0.166,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3C22" w:rsidRPr="00B436C8" w:rsidRDefault="006E3C22" w:rsidP="00BC7680">
            <w:pPr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0.192)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3C22" w:rsidRPr="00B436C8" w:rsidRDefault="006E3C22" w:rsidP="00BC7680">
            <w:pPr>
              <w:jc w:val="right"/>
              <w:rPr>
                <w:rFonts w:ascii="Calibri Light" w:hAnsi="Calibri Light" w:cs="Calibri Light"/>
                <w:color w:val="FF0000"/>
                <w:lang w:val="en-US"/>
              </w:rPr>
            </w:pPr>
            <w:r w:rsidRPr="00B436C8">
              <w:rPr>
                <w:rFonts w:ascii="Calibri Light" w:hAnsi="Calibri Light" w:cs="Calibri Light"/>
                <w:color w:val="000000"/>
              </w:rPr>
              <w:t>0.927</w:t>
            </w:r>
          </w:p>
        </w:tc>
      </w:tr>
    </w:tbl>
    <w:p w:rsidR="003D5E8F" w:rsidRDefault="003D5E8F"/>
    <w:sectPr w:rsidR="003D5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22"/>
    <w:rsid w:val="00007203"/>
    <w:rsid w:val="00030409"/>
    <w:rsid w:val="000C2069"/>
    <w:rsid w:val="000E123C"/>
    <w:rsid w:val="000E5732"/>
    <w:rsid w:val="00144DD4"/>
    <w:rsid w:val="0028612B"/>
    <w:rsid w:val="002A268C"/>
    <w:rsid w:val="00344536"/>
    <w:rsid w:val="003B0E52"/>
    <w:rsid w:val="003D5E8F"/>
    <w:rsid w:val="00415A41"/>
    <w:rsid w:val="005609BA"/>
    <w:rsid w:val="00584F2F"/>
    <w:rsid w:val="00671872"/>
    <w:rsid w:val="006858BE"/>
    <w:rsid w:val="006E3C22"/>
    <w:rsid w:val="00706D94"/>
    <w:rsid w:val="007B5F13"/>
    <w:rsid w:val="008D4624"/>
    <w:rsid w:val="008F6380"/>
    <w:rsid w:val="009D4DC1"/>
    <w:rsid w:val="00AA54FA"/>
    <w:rsid w:val="00B83FFD"/>
    <w:rsid w:val="00BA1F2F"/>
    <w:rsid w:val="00C45000"/>
    <w:rsid w:val="00C90929"/>
    <w:rsid w:val="00D5682B"/>
    <w:rsid w:val="00E829E7"/>
    <w:rsid w:val="00E92770"/>
    <w:rsid w:val="00F153C9"/>
    <w:rsid w:val="00F3259A"/>
    <w:rsid w:val="00F42A00"/>
    <w:rsid w:val="00F5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8C03B5E"/>
  <w15:chartTrackingRefBased/>
  <w15:docId w15:val="{516E41E9-3D4C-8742-8651-F060EC40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3C22"/>
    <w:rPr>
      <w:rFonts w:ascii="Times New Roman" w:eastAsia="Times New Roman" w:hAnsi="Times New Roman" w:cs="Times New Roman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gureLegends">
    <w:name w:val="Figure Legends"/>
    <w:basedOn w:val="Standard"/>
    <w:rsid w:val="006E3C22"/>
    <w:pPr>
      <w:spacing w:before="120" w:line="360" w:lineRule="auto"/>
      <w:jc w:val="both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Janicke</dc:creator>
  <cp:keywords/>
  <dc:description/>
  <cp:lastModifiedBy>Tim Janicke</cp:lastModifiedBy>
  <cp:revision>3</cp:revision>
  <dcterms:created xsi:type="dcterms:W3CDTF">2021-09-24T13:09:00Z</dcterms:created>
  <dcterms:modified xsi:type="dcterms:W3CDTF">2021-09-27T07:06:00Z</dcterms:modified>
</cp:coreProperties>
</file>