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Normal"/>
        <w:pBdr/>
        <w:rPr/>
        <w:framePr w:w="7817" w:h="1535" w:x="1858" w:y="1" w:wrap="auto" w:vAnchor="text" w:hAnchor="page" w:hRule="exact"/>
      </w:pPr>
      <w:r>
        <w:rPr>
          <w:rFonts w:ascii="Calibri" w:hAnsi="Calibri" w:asciiTheme="minorHAnsi" w:hAnsiTheme="minorHAnsi"/>
        </w:rPr>
        <w:t xml:space="preserve">No a priori sample-size calculations were preformed. Two animals is an accepted sample size for electrophysiology experiments with non-human primates. We have included multiple sessions per monkey with 93-160 trials each and have explicit control over bias due to finite amount of data (see Methods: Statistical analysis and </w:t>
      </w:r>
      <w:r>
        <w:rPr>
          <w:rFonts w:ascii="Calibri" w:hAnsi="Calibri" w:asciiTheme="minorHAnsi" w:hAnsiTheme="minorHAnsi"/>
        </w:rPr>
        <w:t>Appendix 1-</w:t>
      </w:r>
      <w:r>
        <w:rPr>
          <w:rFonts w:ascii="Calibri" w:hAnsi="Calibri" w:asciiTheme="minorHAnsi" w:hAnsiTheme="minorHAnsi"/>
        </w:rPr>
        <w:t xml:space="preserve">Table 2). </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pBdr/>
        <w:rPr/>
        <w:framePr w:w="7817" w:h="1088" w:x="1858" w:y="1" w:wrap="auto" w:vAnchor="text" w:hAnchor="page" w:hRule="exact"/>
      </w:pPr>
      <w:r>
        <w:rPr>
          <w:rFonts w:ascii="Calibri" w:hAnsi="Calibri" w:asciiTheme="minorHAnsi" w:hAnsiTheme="minorHAnsi"/>
        </w:rPr>
        <w:t>Details on the experimental design can be found in the methods section</w:t>
      </w:r>
      <w:bookmarkStart w:id="2" w:name="magicparlabel-296811"/>
      <w:bookmarkEnd w:id="2"/>
      <w:r>
        <w:rPr>
          <w:rFonts w:ascii="Calibri" w:hAnsi="Calibri" w:asciiTheme="minorHAnsi" w:hAnsiTheme="minorHAnsi"/>
        </w:rPr>
        <w:t xml:space="preserve"> “Experimental Design and Statistical Analysis”.</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
    </w:p>
    <w:p>
      <w:pPr>
        <w:pStyle w:val="Normal"/>
        <w:pBdr/>
        <w:rPr/>
        <w:framePr w:w="7817" w:h="1088" w:x="1904" w:y="21" w:wrap="auto" w:vAnchor="text" w:hAnchor="page" w:hRule="exact"/>
      </w:pPr>
      <w:r>
        <w:rPr>
          <w:rFonts w:ascii="Calibri" w:hAnsi="Calibri" w:asciiTheme="minorHAnsi" w:hAnsiTheme="minorHAnsi"/>
          <w:sz w:val="22"/>
          <w:szCs w:val="22"/>
        </w:rPr>
        <w:t>Details can be found in figure captions and the methods section “Experimental Design and Statistical Analysis”.</w:t>
      </w:r>
    </w:p>
    <w:p>
      <w:pPr>
        <w:pStyle w:val="Normal"/>
        <w:rPr>
          <w:rFonts w:ascii="Calibri" w:hAnsi="Calibri" w:asciiTheme="minorHAnsi" w:hAnsiTheme="minorHAnsi"/>
          <w:bCs/>
          <w:sz w:val="22"/>
          <w:szCs w:val="22"/>
        </w:rPr>
      </w:pPr>
      <w:r>
        <w:rPr/>
      </w:r>
    </w:p>
    <w:p>
      <w:pPr>
        <w:pStyle w:val="Normal"/>
        <w:rPr>
          <w:rFonts w:ascii="Calibri" w:hAnsi="Calibri" w:asciiTheme="minorHAnsi" w:hAnsiTheme="minorHAnsi"/>
          <w:bCs/>
          <w:sz w:val="22"/>
          <w:szCs w:val="22"/>
        </w:rPr>
      </w:pPr>
      <w:r>
        <w:rPr/>
      </w:r>
    </w:p>
    <w:p>
      <w:pPr>
        <w:pStyle w:val="Normal"/>
        <w:rPr>
          <w:rFonts w:ascii="Calibri" w:hAnsi="Calibri" w:asciiTheme="minorHAnsi" w:hAnsiTheme="minorHAnsi"/>
          <w:bCs/>
          <w:sz w:val="22"/>
          <w:szCs w:val="22"/>
        </w:rPr>
      </w:pPr>
      <w:r>
        <w:rPr/>
      </w:r>
    </w:p>
    <w:p>
      <w:pPr>
        <w:pStyle w:val="Normal"/>
        <w:rPr>
          <w:rFonts w:ascii="Calibri" w:hAnsi="Calibri" w:asciiTheme="minorHAnsi" w:hAnsiTheme="minorHAnsi"/>
          <w:bCs/>
          <w:sz w:val="22"/>
          <w:szCs w:val="22"/>
        </w:rPr>
      </w:pPr>
      <w:r>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Normal"/>
        <w:pBdr/>
        <w:rPr/>
        <w:framePr w:w="7817" w:h="1088" w:x="1904" w:y="1" w:wrap="auto" w:vAnchor="text" w:hAnchor="page" w:hRule="exact"/>
      </w:pPr>
      <w:r>
        <w:rPr>
          <w:rFonts w:ascii="Calibri" w:hAnsi="Calibri" w:asciiTheme="minorHAnsi" w:hAnsiTheme="minorHAnsi"/>
          <w:sz w:val="22"/>
          <w:szCs w:val="22"/>
        </w:rPr>
        <w:t>Not applicable</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1088" w:x="1904" w:y="1" w:wrap="auto" w:vAnchor="text" w:hAnchor="page" w:hRule="exact"/>
      </w:pPr>
      <w:r>
        <w:rPr>
          <w:rFonts w:ascii="Calibri" w:hAnsi="Calibri" w:asciiTheme="minorHAnsi" w:hAnsiTheme="minorHAnsi"/>
          <w:sz w:val="22"/>
          <w:szCs w:val="22"/>
        </w:rPr>
        <w:t>Source data files have been provided for all figures.</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3">
              <wp:simplePos x="0" y="0"/>
              <wp:positionH relativeFrom="page">
                <wp:posOffset>6313805</wp:posOffset>
              </wp:positionH>
              <wp:positionV relativeFrom="paragraph">
                <wp:posOffset>123825</wp:posOffset>
              </wp:positionV>
              <wp:extent cx="65405" cy="154305"/>
              <wp:effectExtent l="0" t="0" r="0" b="0"/>
              <wp:wrapSquare wrapText="largest"/>
              <wp:docPr id="2" name="Frame6"/>
              <a:graphic xmlns:a="http://schemas.openxmlformats.org/drawingml/2006/main">
                <a:graphicData uri="http://schemas.microsoft.com/office/word/2010/wordprocessingShape">
                  <wps:wsp>
                    <wps:cNvSpPr/>
                    <wps:spPr>
                      <a:xfrm>
                        <a:off x="0" y="0"/>
                        <a:ext cx="64800" cy="1537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color w:val="auto"/>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2</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fillcolor="white" stroked="f" style="position:absolute;margin-left:497.15pt;margin-top:9.75pt;width:5.05pt;height:12.05pt;mso-position-horizontal-relative:page">
              <w10:wrap type="square"/>
              <v:fill o:detectmouseclick="t" type="solid" color2="black" opacity="0"/>
              <v:stroke color="#3465a4" joinstyle="round" endcap="flat"/>
              <v:textbox>
                <w:txbxContent>
                  <w:p>
                    <w:pPr>
                      <w:pStyle w:val="Footer"/>
                      <w:rPr/>
                    </w:pPr>
                    <w:r>
                      <w:rPr>
                        <w:rStyle w:val="Pagenumber"/>
                        <w:rFonts w:ascii="Calibri" w:hAnsi="Calibri"/>
                        <w:color w:val="auto"/>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2</w:t>
                    </w:r>
                    <w:r>
                      <w:rPr>
                        <w:rStyle w:val="Pagenumber"/>
                        <w:sz w:val="20"/>
                        <w:szCs w:val="20"/>
                        <w:rFonts w:ascii="Calibri" w:hAnsi="Calibri"/>
                      </w:rP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asciiTheme="minorHAnsi" w:hAnsiTheme="minorHAnsi"/>
      <w:bCs/>
      <w:sz w:val="22"/>
      <w:szCs w:val="22"/>
      <w:lang w:val="en-GB"/>
    </w:rPr>
  </w:style>
  <w:style w:type="character" w:styleId="ListLabel5">
    <w:name w:val="ListLabel 5"/>
    <w:qFormat/>
    <w:rPr>
      <w:rFonts w:ascii="Calibri" w:hAnsi="Calibri" w:asciiTheme="minorHAnsi" w:hAnsiTheme="minorHAnsi"/>
      <w:bCs/>
      <w:sz w:val="22"/>
      <w:szCs w:val="22"/>
    </w:rPr>
  </w:style>
  <w:style w:type="character" w:styleId="ListLabel6">
    <w:name w:val="ListLabel 6"/>
    <w:qFormat/>
    <w:rPr>
      <w:rFonts w:ascii="Calibri" w:hAnsi="Calibri" w:cs="Symbol"/>
      <w:sz w:val="22"/>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Calibri" w:hAnsi="Calibri" w:cs="Symbol"/>
      <w:sz w:val="22"/>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Calibri" w:hAnsi="Calibri" w:cs="Symbol"/>
      <w:b/>
      <w:sz w:val="22"/>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Calibri" w:hAnsi="Calibri" w:cs="Symbol"/>
      <w:sz w:val="22"/>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Calibri" w:hAnsi="Calibri" w:cs="Symbol"/>
      <w:sz w:val="22"/>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Calibri" w:hAnsi="Calibri" w:asciiTheme="minorHAnsi" w:hAnsiTheme="minorHAnsi"/>
      <w:bCs/>
      <w:sz w:val="22"/>
      <w:szCs w:val="22"/>
      <w:lang w:val="en-GB"/>
    </w:rPr>
  </w:style>
  <w:style w:type="character" w:styleId="ListLabel52">
    <w:name w:val="ListLabel 52"/>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Application>LibreOffice/6.0.7.3$Linux_X86_64 LibreOffice_project/00m0$Build-3</Application>
  <Pages>2</Pages>
  <Words>786</Words>
  <Characters>4395</Characters>
  <CharactersWithSpaces>5122</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2021-04-14T13:57:18Z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