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E5" w:rsidRPr="00E54135" w:rsidRDefault="005128E5" w:rsidP="005128E5">
      <w:pPr>
        <w:keepNext/>
        <w:jc w:val="center"/>
      </w:pPr>
      <w:r>
        <w:rPr>
          <w:noProof/>
          <w:lang w:val="en-US"/>
        </w:rPr>
        <w:drawing>
          <wp:inline distT="0" distB="0" distL="0" distR="0" wp14:anchorId="21025396" wp14:editId="714D76C2">
            <wp:extent cx="4610100" cy="60775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C_suppl_WT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57"/>
                    <a:stretch/>
                  </pic:blipFill>
                  <pic:spPr bwMode="auto">
                    <a:xfrm>
                      <a:off x="0" y="0"/>
                      <a:ext cx="4625568" cy="6097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8E5" w:rsidRDefault="005128E5" w:rsidP="005128E5">
      <w:pPr>
        <w:keepNext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3D1E571" wp14:editId="665BE85B">
            <wp:extent cx="4500000" cy="597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TC_suppl_HM4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5"/>
                    <a:stretch/>
                  </pic:blipFill>
                  <pic:spPr bwMode="auto">
                    <a:xfrm>
                      <a:off x="0" y="0"/>
                      <a:ext cx="4500000" cy="597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8E5" w:rsidRPr="00B41C17" w:rsidRDefault="005128E5" w:rsidP="005128E5">
      <w:pPr>
        <w:pStyle w:val="Caption"/>
        <w:spacing w:line="360" w:lineRule="auto"/>
      </w:pPr>
      <w:r w:rsidRPr="00B41C17">
        <w:t>Fig</w:t>
      </w:r>
      <w:r>
        <w:t>ure</w:t>
      </w:r>
      <w:r w:rsidRPr="00B41C17">
        <w:t xml:space="preserve"> </w:t>
      </w:r>
      <w:r>
        <w:t xml:space="preserve">2 – </w:t>
      </w:r>
      <w:r>
        <w:t>source data</w:t>
      </w:r>
      <w:r>
        <w:t xml:space="preserve"> 1</w:t>
      </w:r>
      <w:r w:rsidRPr="00B41C17">
        <w:t>. Raw plots and integrated heat plots of isothermal titration calorimetry of rhDAO-WT and rhDAO-R568S/R571T heparin-binding motif mutant with high-molecular weight heparin.</w:t>
      </w:r>
    </w:p>
    <w:p w:rsidR="005128E5" w:rsidRDefault="005128E5" w:rsidP="005128E5">
      <w:pPr>
        <w:spacing w:line="360" w:lineRule="auto"/>
        <w:rPr>
          <w:sz w:val="20"/>
          <w:szCs w:val="20"/>
          <w:lang w:val="en-US"/>
        </w:rPr>
      </w:pPr>
      <w:r w:rsidRPr="006175C7">
        <w:rPr>
          <w:sz w:val="20"/>
          <w:szCs w:val="20"/>
          <w:lang w:val="en-US"/>
        </w:rPr>
        <w:t>H</w:t>
      </w:r>
      <w:r w:rsidRPr="00F551A4">
        <w:rPr>
          <w:sz w:val="20"/>
          <w:szCs w:val="20"/>
          <w:lang w:val="en-US"/>
        </w:rPr>
        <w:t>igh-molecular weight heparin</w:t>
      </w:r>
      <w:r w:rsidRPr="00C015D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</w:t>
      </w:r>
      <w:r w:rsidRPr="00140A28">
        <w:rPr>
          <w:sz w:val="20"/>
          <w:szCs w:val="20"/>
          <w:lang w:val="en-US"/>
        </w:rPr>
        <w:t>HMWH</w:t>
      </w:r>
      <w:r>
        <w:rPr>
          <w:sz w:val="20"/>
          <w:szCs w:val="20"/>
          <w:lang w:val="en-US"/>
        </w:rPr>
        <w:t>)</w:t>
      </w:r>
      <w:r w:rsidRPr="00140A28">
        <w:rPr>
          <w:sz w:val="20"/>
          <w:szCs w:val="20"/>
          <w:lang w:val="en-US"/>
        </w:rPr>
        <w:t xml:space="preserve"> was titrated into rhDAO-R568S/R571T and rhDAO-WT from individual batches (B1, B2, B3) in 50 mM </w:t>
      </w:r>
      <w:proofErr w:type="spellStart"/>
      <w:r w:rsidRPr="00140A28">
        <w:rPr>
          <w:sz w:val="20"/>
          <w:szCs w:val="20"/>
          <w:lang w:val="en-US"/>
        </w:rPr>
        <w:t>Hepes</w:t>
      </w:r>
      <w:proofErr w:type="spellEnd"/>
      <w:r w:rsidRPr="00140A28">
        <w:rPr>
          <w:sz w:val="20"/>
          <w:szCs w:val="20"/>
          <w:lang w:val="en-US"/>
        </w:rPr>
        <w:t xml:space="preserve"> buffer with 150 mM </w:t>
      </w:r>
      <w:proofErr w:type="spellStart"/>
      <w:r w:rsidRPr="00140A28">
        <w:rPr>
          <w:sz w:val="20"/>
          <w:szCs w:val="20"/>
          <w:lang w:val="en-US"/>
        </w:rPr>
        <w:t>KCl</w:t>
      </w:r>
      <w:proofErr w:type="spellEnd"/>
      <w:r w:rsidRPr="00140A28">
        <w:rPr>
          <w:sz w:val="20"/>
          <w:szCs w:val="20"/>
          <w:lang w:val="en-US"/>
        </w:rPr>
        <w:t>, pH 7.5. Protein and ligand concentrations, injection modes, resulting K</w:t>
      </w:r>
      <w:r w:rsidRPr="00140A28">
        <w:rPr>
          <w:rFonts w:cs="Times New Roman (Body CS)"/>
          <w:sz w:val="20"/>
          <w:szCs w:val="20"/>
          <w:vertAlign w:val="subscript"/>
          <w:lang w:val="en-US"/>
        </w:rPr>
        <w:t>D</w:t>
      </w:r>
      <w:r w:rsidRPr="00140A28">
        <w:rPr>
          <w:sz w:val="20"/>
          <w:szCs w:val="20"/>
          <w:lang w:val="en-US"/>
        </w:rPr>
        <w:t xml:space="preserve"> values and number of binding sites (N) are shown. The six measurements of rhDAO-WT resulted </w:t>
      </w:r>
      <w:bookmarkStart w:id="0" w:name="_GoBack"/>
      <w:bookmarkEnd w:id="0"/>
      <w:r w:rsidRPr="00140A28">
        <w:rPr>
          <w:sz w:val="20"/>
          <w:szCs w:val="20"/>
          <w:lang w:val="en-US"/>
        </w:rPr>
        <w:t>in a mean (SD)</w:t>
      </w:r>
      <w:r>
        <w:rPr>
          <w:sz w:val="20"/>
          <w:szCs w:val="20"/>
          <w:lang w:val="en-US"/>
        </w:rPr>
        <w:t xml:space="preserve"> </w:t>
      </w:r>
      <w:r w:rsidRPr="00140A28">
        <w:rPr>
          <w:sz w:val="20"/>
          <w:szCs w:val="20"/>
          <w:lang w:val="en-US"/>
        </w:rPr>
        <w:t>K</w:t>
      </w:r>
      <w:r w:rsidRPr="00140A28">
        <w:rPr>
          <w:rFonts w:cs="Times New Roman (Body CS)"/>
          <w:sz w:val="20"/>
          <w:szCs w:val="20"/>
          <w:vertAlign w:val="subscript"/>
          <w:lang w:val="en-US"/>
        </w:rPr>
        <w:t>D</w:t>
      </w:r>
      <w:r w:rsidRPr="00140A28">
        <w:rPr>
          <w:sz w:val="20"/>
          <w:szCs w:val="20"/>
          <w:lang w:val="en-US"/>
        </w:rPr>
        <w:t xml:space="preserve"> value of 633 (26) </w:t>
      </w:r>
      <w:proofErr w:type="spellStart"/>
      <w:r w:rsidRPr="00140A28">
        <w:rPr>
          <w:sz w:val="20"/>
          <w:szCs w:val="20"/>
          <w:lang w:val="en-US"/>
        </w:rPr>
        <w:t>nM</w:t>
      </w:r>
      <w:proofErr w:type="spellEnd"/>
      <w:r w:rsidRPr="00140A28">
        <w:rPr>
          <w:sz w:val="20"/>
          <w:szCs w:val="20"/>
          <w:lang w:val="en-US"/>
        </w:rPr>
        <w:t xml:space="preserve"> and a stoichiometry of 2.4 (0.6) DAO molecules binding</w:t>
      </w:r>
      <w:r w:rsidRPr="00C015D1">
        <w:rPr>
          <w:sz w:val="20"/>
          <w:szCs w:val="20"/>
          <w:lang w:val="en-US"/>
        </w:rPr>
        <w:t xml:space="preserve"> to one HMWH molecule</w:t>
      </w:r>
      <w:r>
        <w:rPr>
          <w:sz w:val="20"/>
          <w:szCs w:val="20"/>
          <w:lang w:val="en-US"/>
        </w:rPr>
        <w:t>.</w:t>
      </w:r>
      <w:r w:rsidRPr="00C015D1">
        <w:rPr>
          <w:sz w:val="20"/>
          <w:szCs w:val="20"/>
          <w:lang w:val="en-US"/>
        </w:rPr>
        <w:t xml:space="preserve"> 1 µM DAO corresponds to </w:t>
      </w:r>
      <w:r w:rsidRPr="00140A28">
        <w:rPr>
          <w:sz w:val="20"/>
          <w:szCs w:val="20"/>
          <w:lang w:val="en-US"/>
        </w:rPr>
        <w:t>170 µg/mL and 1 µM HMWH corresponds to 15 µg/mL or 3 units/</w:t>
      </w:r>
      <w:proofErr w:type="spellStart"/>
      <w:r w:rsidRPr="00140A28">
        <w:rPr>
          <w:sz w:val="20"/>
          <w:szCs w:val="20"/>
          <w:lang w:val="en-US"/>
        </w:rPr>
        <w:t>mL.</w:t>
      </w:r>
      <w:proofErr w:type="spellEnd"/>
      <w:r w:rsidRPr="00140A28">
        <w:rPr>
          <w:sz w:val="20"/>
          <w:szCs w:val="20"/>
          <w:lang w:val="en-US"/>
        </w:rPr>
        <w:t xml:space="preserve"> The wildtype data were recently published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fldChar w:fldCharType="begin"/>
      </w:r>
      <w:r>
        <w:rPr>
          <w:sz w:val="20"/>
          <w:szCs w:val="20"/>
          <w:lang w:val="en-US"/>
        </w:rPr>
        <w:instrText xml:space="preserve"> ADDIN ZOTERO_ITEM CSL_CITATION {"citationID":"hwM8h0hv","properties":{"formattedCitation":"{\\i{}(17)}","plainCitation":"(17)","noteIndex":0},"citationItems":[{"id":2372,"uris":["http://zotero.org/users/2219325/items/A2FU36K5"],"uri":["http://zotero.org/users/2219325/items/A2FU36K5"],"itemData":{"id":2372,"type":"article-journal","abstract":"Abstract. Human diamine oxidase (hDAO) rapidly inactivates histamine by deamination. No pharmacokinetic data are available to better understand its potential as","container-title":"Glycobiology","DOI":"10.1093/glycob/cwaa090","journalAbbreviation":"Glycobiology","language":"en","source":"academic.oup.com","title":"Human diamine oxidase cellular binding and internalization in vitro and rapid clearance in vivo are not mediated by N-glycans but by heparan sulfate proteoglycan interactions","URL":"https://academic.oup.com/glycob/advance-article/doi/10.1093/glycob/cwaa090/5911970","author":[{"family":"Gludovacz","given":"Elisabeth"},{"family":"Schuetzenberger","given":"Kornelia"},{"family":"Resch","given":"Marlene"},{"family":"Tillmann","given":"Katharina"},{"family":"Petroczi","given":"Karin"},{"family":"Vondra","given":"Sigrid"},{"family":"Vakal","given":"Serhii"},{"family":"Schosserer","given":"Markus"},{"family":"Virgolini","given":"Nikolaus"},{"family":"Pollheimer","given":"Jürgen"},{"family":"Salminen","given":"Tiina A."},{"family":"Jilma","given":"Bernd"},{"family":"Borth","given":"Nicole"},{"family":"Boehm","given":"Thomas"}],"accessed":{"date-parts":[["2020",11,25]]},"issued":{"date-parts":[["2020"]]}}}],"schema":"https://github.com/citation-style-language/schema/raw/master/csl-citation.json"} </w:instrText>
      </w:r>
      <w:r>
        <w:rPr>
          <w:sz w:val="20"/>
          <w:szCs w:val="20"/>
          <w:lang w:val="en-US"/>
        </w:rPr>
        <w:fldChar w:fldCharType="separate"/>
      </w:r>
      <w:r w:rsidRPr="00367A13">
        <w:rPr>
          <w:rFonts w:cs="Times New Roman"/>
          <w:i/>
          <w:iCs/>
          <w:sz w:val="20"/>
          <w:szCs w:val="24"/>
          <w:lang w:val="en-US"/>
        </w:rPr>
        <w:t>(17)</w:t>
      </w:r>
      <w:r>
        <w:rPr>
          <w:sz w:val="20"/>
          <w:szCs w:val="20"/>
          <w:lang w:val="en-US"/>
        </w:rPr>
        <w:fldChar w:fldCharType="end"/>
      </w:r>
      <w:r w:rsidRPr="00140A28">
        <w:rPr>
          <w:sz w:val="20"/>
          <w:szCs w:val="20"/>
          <w:lang w:val="en-US"/>
        </w:rPr>
        <w:t>.</w:t>
      </w:r>
    </w:p>
    <w:p w:rsidR="00DB18F5" w:rsidRDefault="00DB18F5"/>
    <w:sectPr w:rsidR="00DB1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E5"/>
    <w:rsid w:val="005128E5"/>
    <w:rsid w:val="005E601A"/>
    <w:rsid w:val="009671FC"/>
    <w:rsid w:val="00974331"/>
    <w:rsid w:val="00D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6BAF"/>
  <w15:chartTrackingRefBased/>
  <w15:docId w15:val="{1745B715-3B99-4AE0-A45C-F0D10B95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8E5"/>
    <w:pPr>
      <w:spacing w:after="0" w:line="480" w:lineRule="auto"/>
      <w:jc w:val="both"/>
    </w:pPr>
    <w:rPr>
      <w:rFonts w:ascii="Times New Roman" w:hAnsi="Times New Roman"/>
      <w:sz w:val="24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5128E5"/>
    <w:pPr>
      <w:keepNext/>
    </w:pPr>
    <w:rPr>
      <w:rFonts w:eastAsia="Times New Roman" w:cs="Times New Roman"/>
      <w:b/>
      <w:iCs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iam</cp:lastModifiedBy>
  <cp:revision>2</cp:revision>
  <dcterms:created xsi:type="dcterms:W3CDTF">2021-04-12T10:47:00Z</dcterms:created>
  <dcterms:modified xsi:type="dcterms:W3CDTF">2021-04-12T10:47:00Z</dcterms:modified>
</cp:coreProperties>
</file>