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DA8DDB" w14:textId="77777777" w:rsidR="00DC1B36" w:rsidRPr="00333EA1" w:rsidRDefault="00DC1B36" w:rsidP="00DC1B36">
      <w:pPr>
        <w:spacing w:line="480" w:lineRule="auto"/>
        <w:rPr>
          <w:rFonts w:ascii="Arial" w:hAnsi="Arial" w:cs="Arial"/>
          <w:b/>
          <w:bCs/>
          <w:color w:val="000000" w:themeColor="text1"/>
        </w:rPr>
      </w:pPr>
      <w:r w:rsidRPr="00333EA1">
        <w:rPr>
          <w:rFonts w:ascii="Arial" w:hAnsi="Arial" w:cs="Arial"/>
          <w:b/>
          <w:bCs/>
          <w:color w:val="000000" w:themeColor="text1"/>
        </w:rPr>
        <w:t xml:space="preserve">Supplementary </w:t>
      </w:r>
      <w:r>
        <w:rPr>
          <w:rFonts w:ascii="Arial" w:hAnsi="Arial" w:cs="Arial"/>
          <w:b/>
          <w:bCs/>
          <w:color w:val="000000" w:themeColor="text1"/>
        </w:rPr>
        <w:t>File</w:t>
      </w:r>
      <w:r w:rsidRPr="00333EA1">
        <w:rPr>
          <w:rFonts w:ascii="Arial" w:hAnsi="Arial" w:cs="Arial"/>
          <w:b/>
          <w:bCs/>
          <w:color w:val="000000" w:themeColor="text1"/>
        </w:rPr>
        <w:t xml:space="preserve"> 3. </w:t>
      </w:r>
      <w:r w:rsidRPr="00333EA1">
        <w:rPr>
          <w:rFonts w:ascii="Arial" w:hAnsi="Arial" w:cs="Arial"/>
          <w:color w:val="000000" w:themeColor="text1"/>
        </w:rPr>
        <w:t>List of Compounds with Potential Structural Cardiotoxicity and Associated Information</w:t>
      </w:r>
    </w:p>
    <w:tbl>
      <w:tblPr>
        <w:tblStyle w:val="TableGrid"/>
        <w:tblW w:w="0" w:type="auto"/>
        <w:tblLayout w:type="fixed"/>
        <w:tblLook w:val="04A0" w:firstRow="1" w:lastRow="0" w:firstColumn="1" w:lastColumn="0" w:noHBand="0" w:noVBand="1"/>
      </w:tblPr>
      <w:tblGrid>
        <w:gridCol w:w="1705"/>
        <w:gridCol w:w="1620"/>
        <w:gridCol w:w="2434"/>
        <w:gridCol w:w="1346"/>
        <w:gridCol w:w="2245"/>
      </w:tblGrid>
      <w:tr w:rsidR="00DC1B36" w:rsidRPr="00333EA1" w14:paraId="7BC24AAB" w14:textId="77777777" w:rsidTr="00591460">
        <w:trPr>
          <w:trHeight w:val="602"/>
        </w:trPr>
        <w:tc>
          <w:tcPr>
            <w:tcW w:w="1705" w:type="dxa"/>
            <w:shd w:val="clear" w:color="auto" w:fill="E7E6E6" w:themeFill="background2"/>
            <w:vAlign w:val="center"/>
          </w:tcPr>
          <w:p w14:paraId="3780C694"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b/>
                <w:bCs/>
                <w:color w:val="000000" w:themeColor="text1"/>
                <w:kern w:val="24"/>
                <w:sz w:val="20"/>
                <w:szCs w:val="20"/>
              </w:rPr>
              <w:t>Compound /Drug</w:t>
            </w:r>
          </w:p>
        </w:tc>
        <w:tc>
          <w:tcPr>
            <w:tcW w:w="1620" w:type="dxa"/>
            <w:shd w:val="clear" w:color="auto" w:fill="E7E6E6" w:themeFill="background2"/>
            <w:vAlign w:val="center"/>
          </w:tcPr>
          <w:p w14:paraId="624EE232" w14:textId="77777777" w:rsidR="00DC1B36" w:rsidRPr="00333EA1" w:rsidRDefault="00DC1B36" w:rsidP="00591460">
            <w:pPr>
              <w:spacing w:line="480" w:lineRule="auto"/>
              <w:rPr>
                <w:rFonts w:ascii="Arial" w:hAnsi="Arial" w:cs="Arial"/>
                <w:b/>
                <w:bCs/>
                <w:color w:val="000000" w:themeColor="text1"/>
                <w:kern w:val="24"/>
                <w:sz w:val="20"/>
                <w:szCs w:val="20"/>
              </w:rPr>
            </w:pPr>
            <w:r w:rsidRPr="00333EA1">
              <w:rPr>
                <w:rFonts w:ascii="Arial" w:hAnsi="Arial" w:cs="Arial"/>
                <w:b/>
                <w:bCs/>
                <w:color w:val="000000" w:themeColor="text1"/>
                <w:kern w:val="24"/>
                <w:sz w:val="20"/>
                <w:szCs w:val="20"/>
              </w:rPr>
              <w:t>Status</w:t>
            </w:r>
          </w:p>
        </w:tc>
        <w:tc>
          <w:tcPr>
            <w:tcW w:w="2434" w:type="dxa"/>
            <w:shd w:val="clear" w:color="auto" w:fill="E7E6E6" w:themeFill="background2"/>
            <w:vAlign w:val="center"/>
          </w:tcPr>
          <w:p w14:paraId="07488E7B" w14:textId="77777777" w:rsidR="00DC1B36" w:rsidRPr="00333EA1" w:rsidRDefault="00DC1B36" w:rsidP="00591460">
            <w:pPr>
              <w:spacing w:line="480" w:lineRule="auto"/>
              <w:rPr>
                <w:rFonts w:ascii="Arial" w:hAnsi="Arial" w:cs="Arial"/>
                <w:b/>
                <w:bCs/>
                <w:color w:val="000000" w:themeColor="text1"/>
                <w:kern w:val="24"/>
                <w:sz w:val="20"/>
                <w:szCs w:val="20"/>
              </w:rPr>
            </w:pPr>
            <w:r w:rsidRPr="00333EA1">
              <w:rPr>
                <w:rFonts w:ascii="Arial" w:hAnsi="Arial" w:cs="Arial"/>
                <w:b/>
                <w:bCs/>
                <w:color w:val="000000" w:themeColor="text1"/>
                <w:kern w:val="24"/>
                <w:sz w:val="20"/>
                <w:szCs w:val="20"/>
              </w:rPr>
              <w:t>Indication/Pharmacological Classification</w:t>
            </w:r>
          </w:p>
        </w:tc>
        <w:tc>
          <w:tcPr>
            <w:tcW w:w="1346" w:type="dxa"/>
            <w:shd w:val="clear" w:color="auto" w:fill="E7E6E6" w:themeFill="background2"/>
            <w:vAlign w:val="center"/>
          </w:tcPr>
          <w:p w14:paraId="058EB0E5" w14:textId="77777777" w:rsidR="00DC1B36" w:rsidRPr="00333EA1" w:rsidRDefault="00DC1B36" w:rsidP="00591460">
            <w:pPr>
              <w:spacing w:line="480" w:lineRule="auto"/>
              <w:rPr>
                <w:rFonts w:ascii="Arial" w:hAnsi="Arial" w:cs="Arial"/>
                <w:b/>
                <w:bCs/>
                <w:color w:val="000000" w:themeColor="text1"/>
                <w:kern w:val="24"/>
                <w:sz w:val="20"/>
                <w:szCs w:val="20"/>
              </w:rPr>
            </w:pPr>
            <w:r w:rsidRPr="00333EA1">
              <w:rPr>
                <w:rFonts w:ascii="Arial" w:hAnsi="Arial" w:cs="Arial"/>
                <w:b/>
                <w:bCs/>
                <w:color w:val="000000" w:themeColor="text1"/>
                <w:kern w:val="24"/>
                <w:sz w:val="20"/>
                <w:szCs w:val="20"/>
              </w:rPr>
              <w:t>Primary Target</w:t>
            </w:r>
          </w:p>
        </w:tc>
        <w:tc>
          <w:tcPr>
            <w:tcW w:w="2245" w:type="dxa"/>
            <w:shd w:val="clear" w:color="auto" w:fill="E7E6E6" w:themeFill="background2"/>
            <w:vAlign w:val="center"/>
          </w:tcPr>
          <w:p w14:paraId="4E24FB1C"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b/>
                <w:bCs/>
                <w:color w:val="000000" w:themeColor="text1"/>
                <w:kern w:val="24"/>
                <w:sz w:val="20"/>
                <w:szCs w:val="20"/>
              </w:rPr>
              <w:t>Reported Adverse Cardiovascular Events</w:t>
            </w:r>
          </w:p>
        </w:tc>
      </w:tr>
      <w:tr w:rsidR="00DC1B36" w:rsidRPr="00333EA1" w14:paraId="20E0D310" w14:textId="77777777" w:rsidTr="00591460">
        <w:tc>
          <w:tcPr>
            <w:tcW w:w="1705" w:type="dxa"/>
            <w:vAlign w:val="center"/>
          </w:tcPr>
          <w:p w14:paraId="67B778BB"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WZ8040</w:t>
            </w:r>
          </w:p>
        </w:tc>
        <w:tc>
          <w:tcPr>
            <w:tcW w:w="1620" w:type="dxa"/>
            <w:vAlign w:val="center"/>
          </w:tcPr>
          <w:p w14:paraId="049F8C75"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Tool compound</w:t>
            </w:r>
          </w:p>
        </w:tc>
        <w:tc>
          <w:tcPr>
            <w:tcW w:w="2434" w:type="dxa"/>
            <w:vAlign w:val="center"/>
          </w:tcPr>
          <w:p w14:paraId="77DC14E8"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Oncology/EGFR inhibitor</w:t>
            </w:r>
          </w:p>
        </w:tc>
        <w:tc>
          <w:tcPr>
            <w:tcW w:w="1346" w:type="dxa"/>
            <w:vAlign w:val="center"/>
          </w:tcPr>
          <w:p w14:paraId="511AEF28"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EGFR</w:t>
            </w:r>
          </w:p>
        </w:tc>
        <w:tc>
          <w:tcPr>
            <w:tcW w:w="2245" w:type="dxa"/>
            <w:vAlign w:val="center"/>
          </w:tcPr>
          <w:p w14:paraId="1155BA82" w14:textId="77777777" w:rsidR="00DC1B36" w:rsidRPr="00333EA1" w:rsidRDefault="00DC1B36" w:rsidP="00591460">
            <w:pPr>
              <w:spacing w:line="480" w:lineRule="auto"/>
              <w:rPr>
                <w:rFonts w:ascii="Arial" w:hAnsi="Arial" w:cs="Arial"/>
                <w:color w:val="000000" w:themeColor="text1"/>
                <w:sz w:val="20"/>
                <w:szCs w:val="20"/>
              </w:rPr>
            </w:pPr>
          </w:p>
        </w:tc>
      </w:tr>
      <w:tr w:rsidR="00DC1B36" w:rsidRPr="00333EA1" w14:paraId="5D565FD0" w14:textId="77777777" w:rsidTr="00591460">
        <w:tc>
          <w:tcPr>
            <w:tcW w:w="1705" w:type="dxa"/>
            <w:vAlign w:val="center"/>
          </w:tcPr>
          <w:p w14:paraId="6C0DCB60"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Zileuton</w:t>
            </w:r>
          </w:p>
        </w:tc>
        <w:tc>
          <w:tcPr>
            <w:tcW w:w="1620" w:type="dxa"/>
            <w:vAlign w:val="center"/>
          </w:tcPr>
          <w:p w14:paraId="6840156A"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Approved. Immediate-release tablets withdrawn from the US market</w:t>
            </w:r>
          </w:p>
        </w:tc>
        <w:tc>
          <w:tcPr>
            <w:tcW w:w="2434" w:type="dxa"/>
            <w:vAlign w:val="center"/>
          </w:tcPr>
          <w:p w14:paraId="7D8260F1"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Asthm, anti-inflammatory/5-lipoxygenase inhibitor</w:t>
            </w:r>
          </w:p>
        </w:tc>
        <w:tc>
          <w:tcPr>
            <w:tcW w:w="1346" w:type="dxa"/>
            <w:vAlign w:val="center"/>
          </w:tcPr>
          <w:p w14:paraId="0DCDEACD"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ALOX5</w:t>
            </w:r>
          </w:p>
        </w:tc>
        <w:tc>
          <w:tcPr>
            <w:tcW w:w="2245" w:type="dxa"/>
            <w:vAlign w:val="center"/>
          </w:tcPr>
          <w:p w14:paraId="2FB567A8" w14:textId="77777777" w:rsidR="00DC1B36" w:rsidRPr="00333EA1" w:rsidRDefault="00DC1B36" w:rsidP="00591460">
            <w:pPr>
              <w:spacing w:line="480" w:lineRule="auto"/>
              <w:rPr>
                <w:rFonts w:ascii="Arial" w:hAnsi="Arial" w:cs="Arial"/>
                <w:color w:val="000000" w:themeColor="text1"/>
                <w:sz w:val="20"/>
                <w:szCs w:val="20"/>
              </w:rPr>
            </w:pPr>
          </w:p>
        </w:tc>
      </w:tr>
      <w:tr w:rsidR="00DC1B36" w:rsidRPr="00333EA1" w14:paraId="7261DBD6" w14:textId="77777777" w:rsidTr="00591460">
        <w:tc>
          <w:tcPr>
            <w:tcW w:w="1705" w:type="dxa"/>
            <w:vAlign w:val="center"/>
          </w:tcPr>
          <w:p w14:paraId="55A688DA"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Mosapride</w:t>
            </w:r>
          </w:p>
        </w:tc>
        <w:tc>
          <w:tcPr>
            <w:tcW w:w="1620" w:type="dxa"/>
            <w:vAlign w:val="center"/>
          </w:tcPr>
          <w:p w14:paraId="70DCE850"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Investigational drug (Phase 3)</w:t>
            </w:r>
          </w:p>
        </w:tc>
        <w:tc>
          <w:tcPr>
            <w:tcW w:w="2434" w:type="dxa"/>
            <w:vAlign w:val="center"/>
          </w:tcPr>
          <w:p w14:paraId="65C92C16"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Gastrointestinal disorders/5HT</w:t>
            </w:r>
            <w:r w:rsidRPr="00333EA1">
              <w:rPr>
                <w:rFonts w:ascii="Arial" w:hAnsi="Arial" w:cs="Arial"/>
                <w:color w:val="000000" w:themeColor="text1"/>
                <w:sz w:val="20"/>
                <w:szCs w:val="20"/>
                <w:vertAlign w:val="subscript"/>
              </w:rPr>
              <w:t>4</w:t>
            </w:r>
            <w:r w:rsidRPr="00333EA1">
              <w:rPr>
                <w:rFonts w:ascii="Arial" w:hAnsi="Arial" w:cs="Arial"/>
                <w:color w:val="000000" w:themeColor="text1"/>
                <w:sz w:val="20"/>
                <w:szCs w:val="20"/>
              </w:rPr>
              <w:t xml:space="preserve"> agonist</w:t>
            </w:r>
          </w:p>
        </w:tc>
        <w:tc>
          <w:tcPr>
            <w:tcW w:w="1346" w:type="dxa"/>
            <w:vAlign w:val="center"/>
          </w:tcPr>
          <w:p w14:paraId="71AD3EE7"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HTR4</w:t>
            </w:r>
          </w:p>
        </w:tc>
        <w:tc>
          <w:tcPr>
            <w:tcW w:w="2245" w:type="dxa"/>
            <w:vAlign w:val="center"/>
          </w:tcPr>
          <w:p w14:paraId="1E5307E0" w14:textId="77777777" w:rsidR="00DC1B36" w:rsidRPr="00333EA1" w:rsidRDefault="00DC1B36" w:rsidP="00591460">
            <w:pPr>
              <w:spacing w:line="480" w:lineRule="auto"/>
              <w:rPr>
                <w:rFonts w:ascii="Arial" w:hAnsi="Arial" w:cs="Arial"/>
                <w:color w:val="000000" w:themeColor="text1"/>
                <w:sz w:val="20"/>
                <w:szCs w:val="20"/>
              </w:rPr>
            </w:pPr>
          </w:p>
        </w:tc>
      </w:tr>
      <w:tr w:rsidR="00DC1B36" w:rsidRPr="00333EA1" w14:paraId="7EBD3BFB" w14:textId="77777777" w:rsidTr="00591460">
        <w:tc>
          <w:tcPr>
            <w:tcW w:w="1705" w:type="dxa"/>
            <w:vAlign w:val="center"/>
          </w:tcPr>
          <w:p w14:paraId="2F3B9B2D"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Roscovitine</w:t>
            </w:r>
          </w:p>
        </w:tc>
        <w:tc>
          <w:tcPr>
            <w:tcW w:w="1620" w:type="dxa"/>
            <w:vAlign w:val="center"/>
          </w:tcPr>
          <w:p w14:paraId="1CBCDFB2"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Investigational drug (Phase 2)</w:t>
            </w:r>
          </w:p>
        </w:tc>
        <w:tc>
          <w:tcPr>
            <w:tcW w:w="2434" w:type="dxa"/>
            <w:vAlign w:val="center"/>
          </w:tcPr>
          <w:p w14:paraId="14DE7B0B"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Oncology, multiple indications/CDK2, CDK7, and CDK9 inhibitor</w:t>
            </w:r>
          </w:p>
        </w:tc>
        <w:tc>
          <w:tcPr>
            <w:tcW w:w="1346" w:type="dxa"/>
            <w:vAlign w:val="center"/>
          </w:tcPr>
          <w:p w14:paraId="3623247F"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CDK2, CDK7, CKD9</w:t>
            </w:r>
          </w:p>
        </w:tc>
        <w:tc>
          <w:tcPr>
            <w:tcW w:w="2245" w:type="dxa"/>
            <w:vAlign w:val="center"/>
          </w:tcPr>
          <w:p w14:paraId="7D3BEB42" w14:textId="77777777" w:rsidR="00DC1B36" w:rsidRPr="00333EA1" w:rsidRDefault="00DC1B36" w:rsidP="00591460">
            <w:pPr>
              <w:spacing w:line="480" w:lineRule="auto"/>
              <w:rPr>
                <w:rFonts w:ascii="Arial" w:hAnsi="Arial" w:cs="Arial"/>
                <w:color w:val="000000" w:themeColor="text1"/>
                <w:sz w:val="20"/>
                <w:szCs w:val="20"/>
              </w:rPr>
            </w:pPr>
          </w:p>
        </w:tc>
      </w:tr>
      <w:tr w:rsidR="00DC1B36" w:rsidRPr="00333EA1" w14:paraId="09090331" w14:textId="77777777" w:rsidTr="00591460">
        <w:tc>
          <w:tcPr>
            <w:tcW w:w="1705" w:type="dxa"/>
            <w:vAlign w:val="center"/>
          </w:tcPr>
          <w:p w14:paraId="3CB319E0"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Streptozotocin</w:t>
            </w:r>
          </w:p>
        </w:tc>
        <w:tc>
          <w:tcPr>
            <w:tcW w:w="1620" w:type="dxa"/>
            <w:vAlign w:val="center"/>
          </w:tcPr>
          <w:p w14:paraId="3DF46C6F"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Approved</w:t>
            </w:r>
          </w:p>
        </w:tc>
        <w:tc>
          <w:tcPr>
            <w:tcW w:w="2434" w:type="dxa"/>
            <w:vAlign w:val="center"/>
          </w:tcPr>
          <w:p w14:paraId="64F0B1CB"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Pancreatic and other oncology, chemotherapy/alkylating antineoplastic agent</w:t>
            </w:r>
          </w:p>
        </w:tc>
        <w:tc>
          <w:tcPr>
            <w:tcW w:w="1346" w:type="dxa"/>
            <w:vAlign w:val="center"/>
          </w:tcPr>
          <w:p w14:paraId="00E19FED"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DNA</w:t>
            </w:r>
          </w:p>
        </w:tc>
        <w:tc>
          <w:tcPr>
            <w:tcW w:w="2245" w:type="dxa"/>
            <w:vAlign w:val="center"/>
          </w:tcPr>
          <w:p w14:paraId="6AC0FF24" w14:textId="77777777" w:rsidR="00DC1B36" w:rsidRPr="00333EA1" w:rsidRDefault="00DC1B36" w:rsidP="00591460">
            <w:pPr>
              <w:spacing w:line="480" w:lineRule="auto"/>
              <w:rPr>
                <w:rFonts w:ascii="Arial" w:hAnsi="Arial" w:cs="Arial"/>
                <w:color w:val="000000" w:themeColor="text1"/>
                <w:sz w:val="20"/>
                <w:szCs w:val="20"/>
              </w:rPr>
            </w:pPr>
          </w:p>
        </w:tc>
      </w:tr>
      <w:tr w:rsidR="00DC1B36" w:rsidRPr="00333EA1" w14:paraId="25724976" w14:textId="77777777" w:rsidTr="00591460">
        <w:tc>
          <w:tcPr>
            <w:tcW w:w="1705" w:type="dxa"/>
            <w:vAlign w:val="center"/>
          </w:tcPr>
          <w:p w14:paraId="39CC1816"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Adrucil</w:t>
            </w:r>
          </w:p>
        </w:tc>
        <w:tc>
          <w:tcPr>
            <w:tcW w:w="1620" w:type="dxa"/>
            <w:vAlign w:val="center"/>
          </w:tcPr>
          <w:p w14:paraId="65C4E10D"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Approved</w:t>
            </w:r>
          </w:p>
        </w:tc>
        <w:tc>
          <w:tcPr>
            <w:tcW w:w="2434" w:type="dxa"/>
            <w:vAlign w:val="center"/>
          </w:tcPr>
          <w:p w14:paraId="4CFAA07D"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Oncology, chemotherapy/nucleoside metabolic inhibitor, DNA synthesis inhibitor</w:t>
            </w:r>
          </w:p>
        </w:tc>
        <w:tc>
          <w:tcPr>
            <w:tcW w:w="1346" w:type="dxa"/>
            <w:vAlign w:val="center"/>
          </w:tcPr>
          <w:p w14:paraId="45EBC369"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DNA</w:t>
            </w:r>
          </w:p>
        </w:tc>
        <w:tc>
          <w:tcPr>
            <w:tcW w:w="2245" w:type="dxa"/>
            <w:vAlign w:val="center"/>
          </w:tcPr>
          <w:p w14:paraId="00B4717C"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 xml:space="preserve">Side effects include cardiac toxicity </w:t>
            </w:r>
            <w:r w:rsidRPr="00333EA1">
              <w:rPr>
                <w:rFonts w:ascii="Arial" w:hAnsi="Arial" w:cs="Arial"/>
                <w:color w:val="000000" w:themeColor="text1"/>
                <w:sz w:val="20"/>
                <w:szCs w:val="20"/>
                <w:shd w:val="clear" w:color="auto" w:fill="E6E6E6"/>
              </w:rPr>
              <w:fldChar w:fldCharType="begin"/>
            </w:r>
            <w:r w:rsidRPr="00333EA1">
              <w:rPr>
                <w:rFonts w:ascii="Arial" w:hAnsi="Arial" w:cs="Arial"/>
                <w:color w:val="000000" w:themeColor="text1"/>
                <w:sz w:val="20"/>
                <w:szCs w:val="20"/>
              </w:rPr>
              <w:instrText xml:space="preserve"> ADDIN ZOTERO_ITEM CSL_CITATION {"citationID":"72iNrGFm","properties":{"formattedCitation":"(Adrucil. RxList., 2020)","plainCitation":"(Adrucil. RxList., 2020)","noteIndex":0},"citationItems":[{"id":4405,"uris":["http://zotero.org/users/4539338/items/KMBUWNQW"],"uri":["http://zotero.org/users/4539338/items/KMBUWNQW"],"itemData":{"id":4405,"type":"webpage","title":"Accessed November 28, 2020. https://www.rxlist.com/adrucil-drug.htm","author":[{"family":"Adrucil. RxList.","given":""}],"issued":{"date-parts":[["2020"]]}}}],"schema":"https://github.com/citation-style-language/schema/raw/master/csl-citation.json"} </w:instrText>
            </w:r>
            <w:r w:rsidRPr="00333EA1">
              <w:rPr>
                <w:rFonts w:ascii="Arial" w:hAnsi="Arial" w:cs="Arial"/>
                <w:color w:val="000000" w:themeColor="text1"/>
                <w:sz w:val="20"/>
                <w:szCs w:val="20"/>
                <w:shd w:val="clear" w:color="auto" w:fill="E6E6E6"/>
              </w:rPr>
              <w:fldChar w:fldCharType="separate"/>
            </w:r>
            <w:r w:rsidRPr="00333EA1">
              <w:rPr>
                <w:rFonts w:ascii="Arial" w:hAnsi="Arial" w:cs="Arial"/>
                <w:noProof/>
                <w:color w:val="000000" w:themeColor="text1"/>
                <w:sz w:val="20"/>
                <w:szCs w:val="20"/>
              </w:rPr>
              <w:t>(Adrucil. RxList., 2020)</w:t>
            </w:r>
            <w:r w:rsidRPr="00333EA1">
              <w:rPr>
                <w:rFonts w:ascii="Arial" w:hAnsi="Arial" w:cs="Arial"/>
                <w:color w:val="000000" w:themeColor="text1"/>
                <w:sz w:val="20"/>
                <w:szCs w:val="20"/>
                <w:shd w:val="clear" w:color="auto" w:fill="E6E6E6"/>
              </w:rPr>
              <w:fldChar w:fldCharType="end"/>
            </w:r>
            <w:r w:rsidRPr="00333EA1">
              <w:rPr>
                <w:rFonts w:ascii="Arial" w:hAnsi="Arial" w:cs="Arial"/>
                <w:color w:val="000000" w:themeColor="text1"/>
                <w:sz w:val="20"/>
                <w:szCs w:val="20"/>
              </w:rPr>
              <w:t xml:space="preserve"> </w:t>
            </w:r>
          </w:p>
        </w:tc>
      </w:tr>
      <w:tr w:rsidR="00DC1B36" w:rsidRPr="00333EA1" w14:paraId="389FC18D" w14:textId="77777777" w:rsidTr="00591460">
        <w:tc>
          <w:tcPr>
            <w:tcW w:w="1705" w:type="dxa"/>
            <w:vAlign w:val="center"/>
          </w:tcPr>
          <w:p w14:paraId="2C78FC2D"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Betamethasone</w:t>
            </w:r>
          </w:p>
        </w:tc>
        <w:tc>
          <w:tcPr>
            <w:tcW w:w="1620" w:type="dxa"/>
            <w:vAlign w:val="center"/>
          </w:tcPr>
          <w:p w14:paraId="386F1431"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Approved</w:t>
            </w:r>
          </w:p>
        </w:tc>
        <w:tc>
          <w:tcPr>
            <w:tcW w:w="2434" w:type="dxa"/>
            <w:vAlign w:val="center"/>
          </w:tcPr>
          <w:p w14:paraId="186662B9"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 xml:space="preserve">Topical steroid, immunosuppressive, </w:t>
            </w:r>
            <w:r w:rsidRPr="00333EA1">
              <w:rPr>
                <w:rFonts w:ascii="Arial" w:hAnsi="Arial" w:cs="Arial"/>
                <w:color w:val="000000" w:themeColor="text1"/>
                <w:sz w:val="20"/>
                <w:szCs w:val="20"/>
              </w:rPr>
              <w:lastRenderedPageBreak/>
              <w:t>anti-inflammatory/glucocorticoid receptor agonist</w:t>
            </w:r>
          </w:p>
        </w:tc>
        <w:tc>
          <w:tcPr>
            <w:tcW w:w="1346" w:type="dxa"/>
            <w:vAlign w:val="center"/>
          </w:tcPr>
          <w:p w14:paraId="2AE616F2"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lastRenderedPageBreak/>
              <w:t>NR3C1</w:t>
            </w:r>
          </w:p>
        </w:tc>
        <w:tc>
          <w:tcPr>
            <w:tcW w:w="2245" w:type="dxa"/>
            <w:vAlign w:val="center"/>
          </w:tcPr>
          <w:p w14:paraId="580AFD2E"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 xml:space="preserve">Oral glucocorticoid identified as risk factor </w:t>
            </w:r>
            <w:r w:rsidRPr="00333EA1">
              <w:rPr>
                <w:rFonts w:ascii="Arial" w:hAnsi="Arial" w:cs="Arial"/>
                <w:color w:val="000000" w:themeColor="text1"/>
                <w:sz w:val="20"/>
                <w:szCs w:val="20"/>
              </w:rPr>
              <w:lastRenderedPageBreak/>
              <w:t xml:space="preserve">for heart failure </w:t>
            </w:r>
            <w:r w:rsidRPr="00333EA1">
              <w:rPr>
                <w:rFonts w:ascii="Arial" w:hAnsi="Arial" w:cs="Arial"/>
                <w:color w:val="000000" w:themeColor="text1"/>
                <w:sz w:val="20"/>
                <w:szCs w:val="20"/>
                <w:shd w:val="clear" w:color="auto" w:fill="E6E6E6"/>
              </w:rPr>
              <w:fldChar w:fldCharType="begin"/>
            </w:r>
            <w:r w:rsidRPr="00333EA1">
              <w:rPr>
                <w:rFonts w:ascii="Arial" w:hAnsi="Arial" w:cs="Arial"/>
                <w:color w:val="000000" w:themeColor="text1"/>
                <w:sz w:val="20"/>
                <w:szCs w:val="20"/>
              </w:rPr>
              <w:instrText xml:space="preserve"> ADDIN ZOTERO_ITEM CSL_CITATION {"citationID":"7v4OOVk5","properties":{"formattedCitation":"(Souverein et al., 2004)","plainCitation":"(Souverein et al., 2004)","noteIndex":0},"citationItems":[{"id":4366,"uris":["http://zotero.org/users/4539338/items/PX4YCEZL"],"uri":["http://zotero.org/users/4539338/items/PX4YCEZL"],"itemData":{"id":4366,"type":"article-journal","abstract":"Objective: To assess whether use of oral glucocorticoids is associated with cardiovascular and cerebrovascular morbidity., Design and setting: Nested case–control study within a cohort of patients (</w:instrText>
            </w:r>
            <w:r w:rsidRPr="00333EA1">
              <w:rPr>
                <w:rFonts w:ascii="Cambria Math" w:hAnsi="Cambria Math" w:cs="Cambria Math"/>
                <w:color w:val="000000" w:themeColor="text1"/>
                <w:sz w:val="20"/>
                <w:szCs w:val="20"/>
              </w:rPr>
              <w:instrText>⩾</w:instrText>
            </w:r>
            <w:r w:rsidRPr="00333EA1">
              <w:rPr>
                <w:rFonts w:ascii="Arial" w:hAnsi="Arial" w:cs="Arial"/>
                <w:color w:val="000000" w:themeColor="text1"/>
                <w:sz w:val="20"/>
                <w:szCs w:val="20"/>
              </w:rPr>
              <w:instrText xml:space="preserve"> 50 years old) with at least one prescription for oral or non-systemic glucocorticoids. Data were from the general practice research database., Patients: 50 656 patients were identified with a first record for ischaemic heart disease (International classification of diseases, ninth revision (ICD-9) codes 410, 411, 413, and 414), ischaemic stroke or transient ischaemic attack (ICD-9 codes 430–436), or heart failure (ICD-9 code 428) between 1988 and 1998. One control was matched to each case by sex, age, general practice, underlying disease, and calendar time., Main outcome measure: Odds ratio (OR) of cardiovascular or cerebrovascular events in patients using oral glucocorticoids compared with non-users., Results: There was a significant association between ever use of oral glucocorticoids and any cardiovascular or cerebrovascular outcome (adjusted OR 1.25, 95% confidence interval (CI) 1.21 to 1.29). The association was stronger for current use of oral glucocorticoids than for recent or past use. Among current users, the highest ORs were observed in the group with the highest average daily dose, although the dose–response relation was not continuous. Current use was associated with an increased risk of heart failure (adjusted OR 2.66, 95% CI 2.46 to 2.87), which was consistent between patients with rheumatoid arthritis, patients with chronic obstructive pulmonary disease, and patients without either of the two conditions. Also, current use was associated with a smaller increased risk of ischaemic heart disease (OR 1.20, 95% CI 1.11 to 1.29)., Conclusions: Oral glucocorticoid use was identified as a risk factor for heart failure. However, the evidence remains observational and only a randomised controlled trial of glucocorticoid treatment versus other disease modifying agents is likely to distinguish the importance of the underlying disease activity from its treatment in predicting cardiovascular outcomes.","container-title":"Heart","DOI":"10.1136/hrt.2003.020180","ISSN":"1355-6037","issue":"8","journalAbbreviation":"Heart","note":"PMID: 15253953\nPMCID: PMC1768386","page":"859-865","source":"PubMed Central","title":"Use of oral glucocorticoids and risk of cardiovascular and cerebrovascular disease in a population based case–control study","volume":"90","author":[{"family":"Souverein","given":"P C"},{"family":"Berard","given":"A"},{"family":"Van Staa","given":"T P"},{"family":"Cooper","given":"C"},{"family":"Egberts","given":"A C G"},{"family":"Leufkens","given":"H G M"},{"family":"Walker","given":"B R"}],"issued":{"date-parts":[["2004",8]]}}}],"schema":"https://github.com/citation-style-language/schema/raw/master/csl-citation.json"} </w:instrText>
            </w:r>
            <w:r w:rsidRPr="00333EA1">
              <w:rPr>
                <w:rFonts w:ascii="Arial" w:hAnsi="Arial" w:cs="Arial"/>
                <w:color w:val="000000" w:themeColor="text1"/>
                <w:sz w:val="20"/>
                <w:szCs w:val="20"/>
                <w:shd w:val="clear" w:color="auto" w:fill="E6E6E6"/>
              </w:rPr>
              <w:fldChar w:fldCharType="separate"/>
            </w:r>
            <w:r w:rsidRPr="00333EA1">
              <w:rPr>
                <w:rFonts w:ascii="Arial" w:hAnsi="Arial" w:cs="Arial"/>
                <w:noProof/>
                <w:color w:val="000000" w:themeColor="text1"/>
                <w:sz w:val="20"/>
                <w:szCs w:val="20"/>
              </w:rPr>
              <w:t>(Souverein et al., 2004)</w:t>
            </w:r>
            <w:r w:rsidRPr="00333EA1">
              <w:rPr>
                <w:rFonts w:ascii="Arial" w:hAnsi="Arial" w:cs="Arial"/>
                <w:color w:val="000000" w:themeColor="text1"/>
                <w:sz w:val="20"/>
                <w:szCs w:val="20"/>
                <w:shd w:val="clear" w:color="auto" w:fill="E6E6E6"/>
              </w:rPr>
              <w:fldChar w:fldCharType="end"/>
            </w:r>
          </w:p>
        </w:tc>
      </w:tr>
      <w:tr w:rsidR="00DC1B36" w:rsidRPr="00333EA1" w14:paraId="5D7CEA4A" w14:textId="77777777" w:rsidTr="00591460">
        <w:tc>
          <w:tcPr>
            <w:tcW w:w="1705" w:type="dxa"/>
            <w:vAlign w:val="center"/>
          </w:tcPr>
          <w:p w14:paraId="63D11104"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lastRenderedPageBreak/>
              <w:t>Meropenem</w:t>
            </w:r>
          </w:p>
        </w:tc>
        <w:tc>
          <w:tcPr>
            <w:tcW w:w="1620" w:type="dxa"/>
            <w:vAlign w:val="center"/>
          </w:tcPr>
          <w:p w14:paraId="6686BBA4"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Approved</w:t>
            </w:r>
          </w:p>
        </w:tc>
        <w:tc>
          <w:tcPr>
            <w:tcW w:w="2434" w:type="dxa"/>
            <w:vAlign w:val="center"/>
          </w:tcPr>
          <w:p w14:paraId="59D95FB6"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Broad-spectrum carbapenem antibiotic</w:t>
            </w:r>
          </w:p>
        </w:tc>
        <w:tc>
          <w:tcPr>
            <w:tcW w:w="1346" w:type="dxa"/>
            <w:vAlign w:val="center"/>
          </w:tcPr>
          <w:p w14:paraId="0339C0DB"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dacB</w:t>
            </w:r>
          </w:p>
          <w:p w14:paraId="59A84F13"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(E. coli)</w:t>
            </w:r>
          </w:p>
        </w:tc>
        <w:tc>
          <w:tcPr>
            <w:tcW w:w="2245" w:type="dxa"/>
            <w:vAlign w:val="center"/>
          </w:tcPr>
          <w:p w14:paraId="28EE6A9E" w14:textId="77777777" w:rsidR="00DC1B36" w:rsidRPr="00333EA1" w:rsidRDefault="00DC1B36" w:rsidP="00591460">
            <w:pPr>
              <w:spacing w:line="480" w:lineRule="auto"/>
              <w:rPr>
                <w:rFonts w:ascii="Arial" w:hAnsi="Arial" w:cs="Arial"/>
                <w:color w:val="000000" w:themeColor="text1"/>
                <w:sz w:val="20"/>
                <w:szCs w:val="20"/>
              </w:rPr>
            </w:pPr>
          </w:p>
        </w:tc>
      </w:tr>
      <w:tr w:rsidR="00DC1B36" w:rsidRPr="00333EA1" w14:paraId="3CC73F27" w14:textId="77777777" w:rsidTr="00591460">
        <w:tc>
          <w:tcPr>
            <w:tcW w:w="1705" w:type="dxa"/>
            <w:vAlign w:val="center"/>
          </w:tcPr>
          <w:p w14:paraId="1C35103F"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Regorafenib</w:t>
            </w:r>
          </w:p>
        </w:tc>
        <w:tc>
          <w:tcPr>
            <w:tcW w:w="1620" w:type="dxa"/>
            <w:vAlign w:val="center"/>
          </w:tcPr>
          <w:p w14:paraId="3ABD01ED"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Approved</w:t>
            </w:r>
          </w:p>
        </w:tc>
        <w:tc>
          <w:tcPr>
            <w:tcW w:w="2434" w:type="dxa"/>
            <w:vAlign w:val="center"/>
          </w:tcPr>
          <w:p w14:paraId="7FFFAE0C"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Sorafenib analog, metastatic colorectal cancer/multi-kinase inhibitor</w:t>
            </w:r>
          </w:p>
        </w:tc>
        <w:tc>
          <w:tcPr>
            <w:tcW w:w="1346" w:type="dxa"/>
            <w:vAlign w:val="center"/>
          </w:tcPr>
          <w:p w14:paraId="0EC4F11B"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KIT, KRAS, BRAF, KDR</w:t>
            </w:r>
          </w:p>
        </w:tc>
        <w:tc>
          <w:tcPr>
            <w:tcW w:w="2245" w:type="dxa"/>
            <w:vAlign w:val="center"/>
          </w:tcPr>
          <w:p w14:paraId="34625E45"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 xml:space="preserve">Risk of regorafenib-induced cardiovascular events in patients with solid tumors </w:t>
            </w:r>
            <w:r w:rsidRPr="00333EA1">
              <w:rPr>
                <w:rFonts w:ascii="Arial" w:hAnsi="Arial" w:cs="Arial"/>
                <w:color w:val="000000" w:themeColor="text1"/>
                <w:sz w:val="20"/>
                <w:szCs w:val="20"/>
                <w:shd w:val="clear" w:color="auto" w:fill="E6E6E6"/>
              </w:rPr>
              <w:fldChar w:fldCharType="begin"/>
            </w:r>
            <w:r w:rsidRPr="00333EA1">
              <w:rPr>
                <w:rFonts w:ascii="Arial" w:hAnsi="Arial" w:cs="Arial"/>
                <w:color w:val="000000" w:themeColor="text1"/>
                <w:sz w:val="20"/>
                <w:szCs w:val="20"/>
              </w:rPr>
              <w:instrText xml:space="preserve"> ADDIN ZOTERO_ITEM CSL_CITATION {"citationID":"8MybXGjw","properties":{"formattedCitation":"(Chen and Wang, 2018)","plainCitation":"(Chen and Wang, 2018)","noteIndex":0},"citationItems":[{"id":4369,"uris":["http://zotero.org/users/4539338/items/8UGXPLH5"],"uri":["http://zotero.org/users/4539338/items/8UGXPLH5"],"itemData":{"id":4369,"type":"article-journal","abstract":"Supplemental Digital Content is available in the text","container-title":"Medicine","DOI":"10.1097/MD.0000000000012705","ISSN":"0025-7974","issue":"41","journalAbbreviation":"Medicine (Baltimore)","note":"PMID: 30313066\nPMCID: PMC6203579","source":"PubMed Central","title":"Risk of regorafenib-induced cardiovascular events in patients with solid tumors","URL":"https://www.ncbi.nlm.nih.gov/pmc/articles/PMC6203579/","volume":"97","author":[{"family":"Chen","given":"Jianxin"},{"family":"Wang","given":"Junhui"}],"accessed":{"date-parts":[["2020",10,28]]},"issued":{"date-parts":[["2018",10,12]]}}}],"schema":"https://github.com/citation-style-language/schema/raw/master/csl-citation.json"} </w:instrText>
            </w:r>
            <w:r w:rsidRPr="00333EA1">
              <w:rPr>
                <w:rFonts w:ascii="Arial" w:hAnsi="Arial" w:cs="Arial"/>
                <w:color w:val="000000" w:themeColor="text1"/>
                <w:sz w:val="20"/>
                <w:szCs w:val="20"/>
                <w:shd w:val="clear" w:color="auto" w:fill="E6E6E6"/>
              </w:rPr>
              <w:fldChar w:fldCharType="separate"/>
            </w:r>
            <w:r w:rsidRPr="00333EA1">
              <w:rPr>
                <w:rFonts w:ascii="Arial" w:hAnsi="Arial" w:cs="Arial"/>
                <w:noProof/>
                <w:color w:val="000000" w:themeColor="text1"/>
                <w:sz w:val="20"/>
                <w:szCs w:val="20"/>
              </w:rPr>
              <w:t>(Chen and Wang, 2018)</w:t>
            </w:r>
            <w:r w:rsidRPr="00333EA1">
              <w:rPr>
                <w:rFonts w:ascii="Arial" w:hAnsi="Arial" w:cs="Arial"/>
                <w:color w:val="000000" w:themeColor="text1"/>
                <w:sz w:val="20"/>
                <w:szCs w:val="20"/>
                <w:shd w:val="clear" w:color="auto" w:fill="E6E6E6"/>
              </w:rPr>
              <w:fldChar w:fldCharType="end"/>
            </w:r>
          </w:p>
        </w:tc>
      </w:tr>
      <w:tr w:rsidR="00DC1B36" w:rsidRPr="00333EA1" w14:paraId="2FBD13F1" w14:textId="77777777" w:rsidTr="00591460">
        <w:tc>
          <w:tcPr>
            <w:tcW w:w="1705" w:type="dxa"/>
            <w:vAlign w:val="center"/>
          </w:tcPr>
          <w:p w14:paraId="42CE9CF3"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Lamivudine</w:t>
            </w:r>
          </w:p>
        </w:tc>
        <w:tc>
          <w:tcPr>
            <w:tcW w:w="1620" w:type="dxa"/>
            <w:vAlign w:val="center"/>
          </w:tcPr>
          <w:p w14:paraId="0B67F1B2"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Approved</w:t>
            </w:r>
          </w:p>
        </w:tc>
        <w:tc>
          <w:tcPr>
            <w:tcW w:w="2434" w:type="dxa"/>
            <w:vAlign w:val="center"/>
          </w:tcPr>
          <w:p w14:paraId="2DAFDDDB"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Antiviral drug/HIV-1, HBV/reverse transcriptase inhibitor</w:t>
            </w:r>
          </w:p>
        </w:tc>
        <w:tc>
          <w:tcPr>
            <w:tcW w:w="1346" w:type="dxa"/>
            <w:vAlign w:val="center"/>
          </w:tcPr>
          <w:p w14:paraId="4EDEEA22"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DNA</w:t>
            </w:r>
          </w:p>
        </w:tc>
        <w:tc>
          <w:tcPr>
            <w:tcW w:w="2245" w:type="dxa"/>
            <w:vAlign w:val="center"/>
          </w:tcPr>
          <w:p w14:paraId="58C8F071" w14:textId="77777777" w:rsidR="00DC1B36" w:rsidRPr="00333EA1" w:rsidRDefault="00DC1B36" w:rsidP="00591460">
            <w:pPr>
              <w:spacing w:line="480" w:lineRule="auto"/>
              <w:rPr>
                <w:rFonts w:ascii="Arial" w:hAnsi="Arial" w:cs="Arial"/>
                <w:color w:val="000000" w:themeColor="text1"/>
                <w:sz w:val="20"/>
                <w:szCs w:val="20"/>
              </w:rPr>
            </w:pPr>
          </w:p>
        </w:tc>
      </w:tr>
      <w:tr w:rsidR="00DC1B36" w:rsidRPr="00333EA1" w14:paraId="5C7DF829" w14:textId="77777777" w:rsidTr="00591460">
        <w:tc>
          <w:tcPr>
            <w:tcW w:w="1705" w:type="dxa"/>
            <w:vAlign w:val="center"/>
          </w:tcPr>
          <w:p w14:paraId="03B2C5D1"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Chlorpromazine</w:t>
            </w:r>
          </w:p>
        </w:tc>
        <w:tc>
          <w:tcPr>
            <w:tcW w:w="1620" w:type="dxa"/>
            <w:vAlign w:val="center"/>
          </w:tcPr>
          <w:p w14:paraId="7C5B9E6A"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Approved</w:t>
            </w:r>
          </w:p>
        </w:tc>
        <w:tc>
          <w:tcPr>
            <w:tcW w:w="2434" w:type="dxa"/>
            <w:vAlign w:val="center"/>
          </w:tcPr>
          <w:p w14:paraId="61D95140"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Antipsychotic medication, schizophrenia/</w:t>
            </w:r>
            <w:proofErr w:type="gramStart"/>
            <w:r w:rsidRPr="00333EA1">
              <w:rPr>
                <w:rFonts w:ascii="Arial" w:hAnsi="Arial" w:cs="Arial"/>
                <w:color w:val="000000" w:themeColor="text1"/>
                <w:sz w:val="20"/>
                <w:szCs w:val="20"/>
              </w:rPr>
              <w:t>dopamine</w:t>
            </w:r>
            <w:proofErr w:type="gramEnd"/>
            <w:r w:rsidRPr="00333EA1">
              <w:rPr>
                <w:rFonts w:ascii="Arial" w:hAnsi="Arial" w:cs="Arial"/>
                <w:color w:val="000000" w:themeColor="text1"/>
                <w:sz w:val="20"/>
                <w:szCs w:val="20"/>
              </w:rPr>
              <w:t xml:space="preserve"> and potassium channel inhibitor</w:t>
            </w:r>
          </w:p>
        </w:tc>
        <w:tc>
          <w:tcPr>
            <w:tcW w:w="1346" w:type="dxa"/>
            <w:vAlign w:val="center"/>
          </w:tcPr>
          <w:p w14:paraId="690EF11E"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DRD1, DRD2, KCNH2</w:t>
            </w:r>
          </w:p>
        </w:tc>
        <w:tc>
          <w:tcPr>
            <w:tcW w:w="2245" w:type="dxa"/>
            <w:vAlign w:val="center"/>
          </w:tcPr>
          <w:p w14:paraId="7D45092D"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 xml:space="preserve">Fast/Irregular heart rate </w:t>
            </w:r>
            <w:r w:rsidRPr="00333EA1">
              <w:rPr>
                <w:rFonts w:ascii="Arial" w:hAnsi="Arial" w:cs="Arial"/>
                <w:color w:val="000000" w:themeColor="text1"/>
                <w:sz w:val="20"/>
                <w:szCs w:val="20"/>
                <w:shd w:val="clear" w:color="auto" w:fill="E6E6E6"/>
              </w:rPr>
              <w:fldChar w:fldCharType="begin"/>
            </w:r>
            <w:r w:rsidRPr="00333EA1">
              <w:rPr>
                <w:rFonts w:ascii="Arial" w:hAnsi="Arial" w:cs="Arial"/>
                <w:color w:val="000000" w:themeColor="text1"/>
                <w:sz w:val="20"/>
                <w:szCs w:val="20"/>
              </w:rPr>
              <w:instrText xml:space="preserve"> ADDIN ZOTERO_ITEM CSL_CITATION {"citationID":"UeVA7okg","properties":{"formattedCitation":"(Chlorpromazine HCL. WebMD., 2020)","plainCitation":"(Chlorpromazine HCL. WebMD., 2020)","noteIndex":0},"citationItems":[{"id":4404,"uris":["http://zotero.org/users/4539338/items/WDTCZCFT"],"uri":["http://zotero.org/users/4539338/items/WDTCZCFT"],"itemData":{"id":4404,"type":"webpage","title":"Accessed November 28, 2020. https://www.webmd.com/drugs/2/drug-1444/chlorpromazine-oral/details","author":[{"family":"Chlorpromazine HCL. WebMD.","given":""}],"issued":{"date-parts":[["2020"]]}}}],"schema":"https://github.com/citation-style-language/schema/raw/master/csl-citation.json"} </w:instrText>
            </w:r>
            <w:r w:rsidRPr="00333EA1">
              <w:rPr>
                <w:rFonts w:ascii="Arial" w:hAnsi="Arial" w:cs="Arial"/>
                <w:color w:val="000000" w:themeColor="text1"/>
                <w:sz w:val="20"/>
                <w:szCs w:val="20"/>
                <w:shd w:val="clear" w:color="auto" w:fill="E6E6E6"/>
              </w:rPr>
              <w:fldChar w:fldCharType="separate"/>
            </w:r>
            <w:r w:rsidRPr="00333EA1">
              <w:rPr>
                <w:rFonts w:ascii="Arial" w:hAnsi="Arial" w:cs="Arial"/>
                <w:noProof/>
                <w:color w:val="000000" w:themeColor="text1"/>
                <w:sz w:val="20"/>
                <w:szCs w:val="20"/>
              </w:rPr>
              <w:t>(Chlorpromazine HCL. WebMD., 2020)</w:t>
            </w:r>
            <w:r w:rsidRPr="00333EA1">
              <w:rPr>
                <w:rFonts w:ascii="Arial" w:hAnsi="Arial" w:cs="Arial"/>
                <w:color w:val="000000" w:themeColor="text1"/>
                <w:sz w:val="20"/>
                <w:szCs w:val="20"/>
                <w:shd w:val="clear" w:color="auto" w:fill="E6E6E6"/>
              </w:rPr>
              <w:fldChar w:fldCharType="end"/>
            </w:r>
          </w:p>
        </w:tc>
      </w:tr>
      <w:tr w:rsidR="00DC1B36" w:rsidRPr="00333EA1" w14:paraId="6D9F8655" w14:textId="77777777" w:rsidTr="00591460">
        <w:tc>
          <w:tcPr>
            <w:tcW w:w="1705" w:type="dxa"/>
            <w:vAlign w:val="center"/>
          </w:tcPr>
          <w:p w14:paraId="67A61DA0"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Imidapril</w:t>
            </w:r>
          </w:p>
        </w:tc>
        <w:tc>
          <w:tcPr>
            <w:tcW w:w="1620" w:type="dxa"/>
            <w:vAlign w:val="center"/>
          </w:tcPr>
          <w:p w14:paraId="6ACB7012"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Approved</w:t>
            </w:r>
          </w:p>
        </w:tc>
        <w:tc>
          <w:tcPr>
            <w:tcW w:w="2434" w:type="dxa"/>
            <w:vAlign w:val="center"/>
          </w:tcPr>
          <w:p w14:paraId="1997406D"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Antihypertensive drug, ACE inhibitor</w:t>
            </w:r>
          </w:p>
        </w:tc>
        <w:tc>
          <w:tcPr>
            <w:tcW w:w="1346" w:type="dxa"/>
            <w:vAlign w:val="center"/>
          </w:tcPr>
          <w:p w14:paraId="5A8F6000"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ACE</w:t>
            </w:r>
          </w:p>
        </w:tc>
        <w:tc>
          <w:tcPr>
            <w:tcW w:w="2245" w:type="dxa"/>
            <w:vAlign w:val="center"/>
          </w:tcPr>
          <w:p w14:paraId="4962C800" w14:textId="77777777" w:rsidR="00DC1B36" w:rsidRPr="00333EA1" w:rsidRDefault="00DC1B36" w:rsidP="00591460">
            <w:pPr>
              <w:spacing w:line="480" w:lineRule="auto"/>
              <w:rPr>
                <w:rFonts w:ascii="Arial" w:hAnsi="Arial" w:cs="Arial"/>
                <w:color w:val="000000" w:themeColor="text1"/>
                <w:sz w:val="20"/>
                <w:szCs w:val="20"/>
              </w:rPr>
            </w:pPr>
          </w:p>
        </w:tc>
      </w:tr>
      <w:tr w:rsidR="00DC1B36" w:rsidRPr="00333EA1" w14:paraId="28B9FE1F" w14:textId="77777777" w:rsidTr="00591460">
        <w:tc>
          <w:tcPr>
            <w:tcW w:w="1705" w:type="dxa"/>
            <w:vAlign w:val="center"/>
          </w:tcPr>
          <w:p w14:paraId="1BF15F05"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Rasagiline</w:t>
            </w:r>
          </w:p>
        </w:tc>
        <w:tc>
          <w:tcPr>
            <w:tcW w:w="1620" w:type="dxa"/>
            <w:vAlign w:val="center"/>
          </w:tcPr>
          <w:p w14:paraId="15D70B46"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Approved</w:t>
            </w:r>
          </w:p>
        </w:tc>
        <w:tc>
          <w:tcPr>
            <w:tcW w:w="2434" w:type="dxa"/>
            <w:vAlign w:val="center"/>
          </w:tcPr>
          <w:p w14:paraId="75D848B4"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Antidepressant, Parkinson’s disease/monoamine oxidase inhibitor</w:t>
            </w:r>
          </w:p>
        </w:tc>
        <w:tc>
          <w:tcPr>
            <w:tcW w:w="1346" w:type="dxa"/>
            <w:vAlign w:val="center"/>
          </w:tcPr>
          <w:p w14:paraId="056A1E26"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MAOB</w:t>
            </w:r>
          </w:p>
        </w:tc>
        <w:tc>
          <w:tcPr>
            <w:tcW w:w="2245" w:type="dxa"/>
            <w:vAlign w:val="center"/>
          </w:tcPr>
          <w:p w14:paraId="53135BEA" w14:textId="77777777" w:rsidR="00DC1B36" w:rsidRPr="00333EA1" w:rsidRDefault="00DC1B36" w:rsidP="00591460">
            <w:pPr>
              <w:spacing w:line="480" w:lineRule="auto"/>
              <w:rPr>
                <w:rFonts w:ascii="Arial" w:hAnsi="Arial" w:cs="Arial"/>
                <w:color w:val="000000" w:themeColor="text1"/>
                <w:sz w:val="20"/>
                <w:szCs w:val="20"/>
              </w:rPr>
            </w:pPr>
          </w:p>
        </w:tc>
      </w:tr>
      <w:tr w:rsidR="00DC1B36" w:rsidRPr="00333EA1" w14:paraId="20C983AD" w14:textId="77777777" w:rsidTr="00591460">
        <w:tc>
          <w:tcPr>
            <w:tcW w:w="1705" w:type="dxa"/>
            <w:vAlign w:val="center"/>
          </w:tcPr>
          <w:p w14:paraId="0256A423"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lastRenderedPageBreak/>
              <w:t xml:space="preserve">Anagrelide </w:t>
            </w:r>
          </w:p>
        </w:tc>
        <w:tc>
          <w:tcPr>
            <w:tcW w:w="1620" w:type="dxa"/>
            <w:vAlign w:val="center"/>
          </w:tcPr>
          <w:p w14:paraId="50E38105"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Approved</w:t>
            </w:r>
          </w:p>
        </w:tc>
        <w:tc>
          <w:tcPr>
            <w:tcW w:w="2434" w:type="dxa"/>
            <w:vAlign w:val="center"/>
          </w:tcPr>
          <w:p w14:paraId="42D98066"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Blood thinner, Platelet-reducing agent/PDE3 inhibitor</w:t>
            </w:r>
          </w:p>
        </w:tc>
        <w:tc>
          <w:tcPr>
            <w:tcW w:w="1346" w:type="dxa"/>
            <w:vAlign w:val="center"/>
          </w:tcPr>
          <w:p w14:paraId="2D1FA2E5"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PDE3</w:t>
            </w:r>
          </w:p>
        </w:tc>
        <w:tc>
          <w:tcPr>
            <w:tcW w:w="2245" w:type="dxa"/>
            <w:vAlign w:val="center"/>
          </w:tcPr>
          <w:p w14:paraId="31B8FCDD"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 xml:space="preserve">Side effects may include fast, irregular, pounding, or racing heartbeat or pulse </w:t>
            </w:r>
            <w:r w:rsidRPr="00333EA1">
              <w:rPr>
                <w:rFonts w:ascii="Arial" w:hAnsi="Arial" w:cs="Arial"/>
                <w:color w:val="000000" w:themeColor="text1"/>
                <w:sz w:val="20"/>
                <w:szCs w:val="20"/>
                <w:shd w:val="clear" w:color="auto" w:fill="E6E6E6"/>
              </w:rPr>
              <w:fldChar w:fldCharType="begin"/>
            </w:r>
            <w:r w:rsidRPr="00333EA1">
              <w:rPr>
                <w:rFonts w:ascii="Arial" w:hAnsi="Arial" w:cs="Arial"/>
                <w:color w:val="000000" w:themeColor="text1"/>
                <w:sz w:val="20"/>
                <w:szCs w:val="20"/>
              </w:rPr>
              <w:instrText xml:space="preserve"> ADDIN ZOTERO_ITEM CSL_CITATION {"citationID":"RDzcxy5H","properties":{"formattedCitation":"(Anagrelide. Mayo Clinic., 2020)","plainCitation":"(Anagrelide. Mayo Clinic., 2020)","noteIndex":0},"citationItems":[{"id":4408,"uris":["http://zotero.org/users/4539338/items/FFIQJ9SP"],"uri":["http://zotero.org/users/4539338/items/FFIQJ9SP"],"itemData":{"id":4408,"type":"webpage","title":"Accessed November 28, 2020. https://www.mayoclinic.org/drugs-supplements/anagrelide-oral-route/side-effects/drg-20061875","author":[{"family":"Anagrelide. Mayo Clinic.","given":""}],"issued":{"date-parts":[["2020"]]}}}],"schema":"https://github.com/citation-style-language/schema/raw/master/csl-citation.json"} </w:instrText>
            </w:r>
            <w:r w:rsidRPr="00333EA1">
              <w:rPr>
                <w:rFonts w:ascii="Arial" w:hAnsi="Arial" w:cs="Arial"/>
                <w:color w:val="000000" w:themeColor="text1"/>
                <w:sz w:val="20"/>
                <w:szCs w:val="20"/>
                <w:shd w:val="clear" w:color="auto" w:fill="E6E6E6"/>
              </w:rPr>
              <w:fldChar w:fldCharType="separate"/>
            </w:r>
            <w:r w:rsidRPr="00333EA1">
              <w:rPr>
                <w:rFonts w:ascii="Arial" w:hAnsi="Arial" w:cs="Arial"/>
                <w:noProof/>
                <w:color w:val="000000" w:themeColor="text1"/>
                <w:sz w:val="20"/>
                <w:szCs w:val="20"/>
              </w:rPr>
              <w:t>(Anagrelide. Mayo Clinic., 2020)</w:t>
            </w:r>
            <w:r w:rsidRPr="00333EA1">
              <w:rPr>
                <w:rFonts w:ascii="Arial" w:hAnsi="Arial" w:cs="Arial"/>
                <w:color w:val="000000" w:themeColor="text1"/>
                <w:sz w:val="20"/>
                <w:szCs w:val="20"/>
                <w:shd w:val="clear" w:color="auto" w:fill="E6E6E6"/>
              </w:rPr>
              <w:fldChar w:fldCharType="end"/>
            </w:r>
            <w:r w:rsidRPr="00333EA1">
              <w:rPr>
                <w:rFonts w:ascii="Arial" w:hAnsi="Arial" w:cs="Arial"/>
                <w:color w:val="000000" w:themeColor="text1"/>
                <w:sz w:val="20"/>
                <w:szCs w:val="20"/>
                <w:shd w:val="clear" w:color="auto" w:fill="E6E6E6"/>
              </w:rPr>
              <w:fldChar w:fldCharType="begin"/>
            </w:r>
            <w:r w:rsidRPr="00333EA1">
              <w:rPr>
                <w:rFonts w:ascii="Arial" w:hAnsi="Arial" w:cs="Arial"/>
                <w:color w:val="000000" w:themeColor="text1"/>
                <w:sz w:val="20"/>
                <w:szCs w:val="20"/>
              </w:rPr>
              <w:instrText xml:space="preserve"> ADDIN ZOTERO_ITEM CSL_CITATION {"citationID":"Ac4DjcZe","properties":{"formattedCitation":"(Anagrelide. Mayo Clinic., 2020)","plainCitation":"(Anagrelide. Mayo Clinic., 2020)","dontUpdate":true,"noteIndex":0},"citationItems":[{"id":4408,"uris":["http://zotero.org/users/4539338/items/FFIQJ9SP"],"uri":["http://zotero.org/users/4539338/items/FFIQJ9SP"],"itemData":{"id":4408,"type":"webpage","title":"Accessed November 28, 2020. https://www.mayoclinic.org/drugs-supplements/anagrelide-oral-route/side-effects/drg-20061875","author":[{"family":"Anagrelide. Mayo Clinic.","given":""}],"issued":{"date-parts":[["2020"]]}}}],"schema":"https://github.com/citation-style-language/schema/raw/master/csl-citation.json"} </w:instrText>
            </w:r>
            <w:r w:rsidRPr="00333EA1">
              <w:rPr>
                <w:rFonts w:ascii="Arial" w:hAnsi="Arial" w:cs="Arial"/>
                <w:color w:val="000000" w:themeColor="text1"/>
                <w:sz w:val="20"/>
                <w:szCs w:val="20"/>
                <w:shd w:val="clear" w:color="auto" w:fill="E6E6E6"/>
              </w:rPr>
              <w:fldChar w:fldCharType="end"/>
            </w:r>
          </w:p>
        </w:tc>
      </w:tr>
      <w:tr w:rsidR="00DC1B36" w:rsidRPr="00333EA1" w14:paraId="28AB1083" w14:textId="77777777" w:rsidTr="00591460">
        <w:tc>
          <w:tcPr>
            <w:tcW w:w="1705" w:type="dxa"/>
            <w:vAlign w:val="center"/>
          </w:tcPr>
          <w:p w14:paraId="6DCD5212"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CI-1040</w:t>
            </w:r>
          </w:p>
        </w:tc>
        <w:tc>
          <w:tcPr>
            <w:tcW w:w="1620" w:type="dxa"/>
            <w:vAlign w:val="center"/>
          </w:tcPr>
          <w:p w14:paraId="78D26EA7"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Investigational drug (Phase 2)</w:t>
            </w:r>
          </w:p>
        </w:tc>
        <w:tc>
          <w:tcPr>
            <w:tcW w:w="2434" w:type="dxa"/>
            <w:vAlign w:val="center"/>
          </w:tcPr>
          <w:p w14:paraId="3BEBEF16"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 xml:space="preserve">Oncology, lung, breast, pancreatic, colorectal/MEK1, 2 </w:t>
            </w:r>
            <w:proofErr w:type="gramStart"/>
            <w:r w:rsidRPr="00333EA1">
              <w:rPr>
                <w:rFonts w:ascii="Arial" w:hAnsi="Arial" w:cs="Arial"/>
                <w:color w:val="000000" w:themeColor="text1"/>
                <w:sz w:val="20"/>
                <w:szCs w:val="20"/>
              </w:rPr>
              <w:t>inhibitor</w:t>
            </w:r>
            <w:proofErr w:type="gramEnd"/>
          </w:p>
        </w:tc>
        <w:tc>
          <w:tcPr>
            <w:tcW w:w="1346" w:type="dxa"/>
            <w:vAlign w:val="center"/>
          </w:tcPr>
          <w:p w14:paraId="653FE08D"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MAP2K1</w:t>
            </w:r>
          </w:p>
          <w:p w14:paraId="5E967EF3"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(MEK1),</w:t>
            </w:r>
          </w:p>
          <w:p w14:paraId="4E912889"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MAP2K2</w:t>
            </w:r>
          </w:p>
          <w:p w14:paraId="31CCFE11"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(MEK2)</w:t>
            </w:r>
          </w:p>
        </w:tc>
        <w:tc>
          <w:tcPr>
            <w:tcW w:w="2245" w:type="dxa"/>
            <w:vAlign w:val="center"/>
          </w:tcPr>
          <w:p w14:paraId="203B940A" w14:textId="77777777" w:rsidR="00DC1B36" w:rsidRPr="00333EA1" w:rsidRDefault="00DC1B36" w:rsidP="00591460">
            <w:pPr>
              <w:spacing w:line="480" w:lineRule="auto"/>
              <w:rPr>
                <w:rFonts w:ascii="Arial" w:hAnsi="Arial" w:cs="Arial"/>
                <w:color w:val="000000" w:themeColor="text1"/>
                <w:sz w:val="20"/>
                <w:szCs w:val="20"/>
              </w:rPr>
            </w:pPr>
          </w:p>
        </w:tc>
      </w:tr>
      <w:tr w:rsidR="00DC1B36" w:rsidRPr="00333EA1" w14:paraId="2998C862" w14:textId="77777777" w:rsidTr="00591460">
        <w:tc>
          <w:tcPr>
            <w:tcW w:w="1705" w:type="dxa"/>
            <w:vAlign w:val="center"/>
          </w:tcPr>
          <w:p w14:paraId="45A53301"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Dimesna</w:t>
            </w:r>
          </w:p>
        </w:tc>
        <w:tc>
          <w:tcPr>
            <w:tcW w:w="1620" w:type="dxa"/>
            <w:vAlign w:val="center"/>
          </w:tcPr>
          <w:p w14:paraId="6DA276CA"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Investigational drug (Phase 3)</w:t>
            </w:r>
          </w:p>
        </w:tc>
        <w:tc>
          <w:tcPr>
            <w:tcW w:w="2434" w:type="dxa"/>
            <w:vAlign w:val="center"/>
          </w:tcPr>
          <w:p w14:paraId="0CB423E3"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Uroprotective agent used to decrease urotoxicity. Used as a chemoprotector in cisplatin-based chemotherapy</w:t>
            </w:r>
          </w:p>
        </w:tc>
        <w:tc>
          <w:tcPr>
            <w:tcW w:w="1346" w:type="dxa"/>
            <w:vAlign w:val="center"/>
          </w:tcPr>
          <w:p w14:paraId="75D182B8" w14:textId="77777777" w:rsidR="00DC1B36" w:rsidRPr="00333EA1" w:rsidRDefault="00DC1B36" w:rsidP="00591460">
            <w:pPr>
              <w:spacing w:line="480" w:lineRule="auto"/>
              <w:rPr>
                <w:rFonts w:ascii="Arial" w:hAnsi="Arial" w:cs="Arial"/>
                <w:color w:val="000000" w:themeColor="text1"/>
                <w:sz w:val="20"/>
                <w:szCs w:val="20"/>
              </w:rPr>
            </w:pPr>
          </w:p>
        </w:tc>
        <w:tc>
          <w:tcPr>
            <w:tcW w:w="2245" w:type="dxa"/>
            <w:vAlign w:val="center"/>
          </w:tcPr>
          <w:p w14:paraId="0190C316"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shd w:val="clear" w:color="auto" w:fill="E6E6E6"/>
              </w:rPr>
              <w:fldChar w:fldCharType="begin"/>
            </w:r>
            <w:r w:rsidRPr="00333EA1">
              <w:rPr>
                <w:rFonts w:ascii="Arial" w:hAnsi="Arial" w:cs="Arial"/>
                <w:color w:val="000000" w:themeColor="text1"/>
                <w:sz w:val="20"/>
                <w:szCs w:val="20"/>
              </w:rPr>
              <w:instrText xml:space="preserve"> ADDIN ZOTERO_ITEM CSL_CITATION {"citationID":"dR6bsvdu","properties":{"formattedCitation":"(Parker et al., 2010)","plainCitation":"(Parker et al., 2010)","noteIndex":0},"citationItems":[{"id":4372,"uris":["http://zotero.org/users/4539338/items/EA4CLZFC"],"uri":["http://zotero.org/users/4539338/items/EA4CLZFC"],"itemData":{"id":4372,"type":"article-journal","abstract":"Taxane and platinum drugs are important agents in the treatment of cancer and have shown activity against a variety of tumors, including ovarian, breast, and lung cancer, either as single agents or in combination with other chemotherapy drugs. However, a serious and prevalent side effect of taxane (docetaxel and all formulations/derivatives of paclitaxel) and platinum (cisplatin, carboplatin, and oxaliplatin) agents is dose-limiting chemotherapy-induced peripheral neuropathy (CIPN). CIPN can result in treatment delays, dose modifications, and, in severe cases, discontinuation of chemotherapy. Consequently, effective treatments for CIPN are needed. Dimesna (BNP7787; Tavocept TM; disodium 2,2′-dithio-bis-ethanesulfonate) is an investigational drug that is undergoing international clinical development as a treatment that is coadministered with first-line taxane and platinum combination chemotherapy in patients with inoperable advanced primary adenocarcinoma of the lung. BNP7787 is currently being developed with the objective of increasing the survival of cancer patients receiving taxane- and/or cisplatin-based chemotherapy. Additional data indicate that BNP7787 may also protect against common and serious chemotherapy-induced toxicities, including chemotherapy-induced anemia, nausea, emesis, nephrotoxicity, and neuropathy, without interfering with antitumor activity of the chemotherapeutic agent(s). Studies herein show that BNP7787 prevents aberrant microtubule protein (MTP) polymerization that is caused by exposure of MTP to paclitaxel or cisplatin. BNP7787 modulates paclitaxel-induced hyperpolymerization of MTP in a dose-dependent manner, and mesna, an in vivo metabolite of BNP7787, protects against time-dependent cisplatin-induced inactivation of MTP. We propose that interactions between BNP7787 and MTP may play a role in BNP7787-mediated protection against CIPN. Mol Cancer Ther; 9(9); 2558–67. ©2010 AACR.","container-title":"Molecular Cancer Therapeutics","DOI":"10.1158/1535-7163.MCT-10-0300","ISSN":"1535-7163, 1538-8514","issue":"9","journalAbbreviation":"Mol Cancer Ther","language":"en","note":"publisher: American Association for Cancer Research\nsection: Preclinical Development\nPMID: 20807779","page":"2558-2567","source":"mct.aacrjournals.org","title":"BNP7787-Mediated Modulation of Paclitaxel- and Cisplatin-Induced Aberrant Microtubule Protein Polymerization In vitro","volume":"9","author":[{"family":"Parker","given":"Aulma R."},{"family":"Petluru","given":"Pavankumar N."},{"family":"Wu","given":"Meizhen"},{"family":"Zhao","given":"Min"},{"family":"Kochat","given":"Harry"},{"family":"Hausheer","given":"Frederick H."}],"issued":{"date-parts":[["2010",9,1]]}}}],"schema":"https://github.com/citation-style-language/schema/raw/master/csl-citation.json"} </w:instrText>
            </w:r>
            <w:r w:rsidRPr="00333EA1">
              <w:rPr>
                <w:rFonts w:ascii="Arial" w:hAnsi="Arial" w:cs="Arial"/>
                <w:color w:val="000000" w:themeColor="text1"/>
                <w:sz w:val="20"/>
                <w:szCs w:val="20"/>
                <w:shd w:val="clear" w:color="auto" w:fill="E6E6E6"/>
              </w:rPr>
              <w:fldChar w:fldCharType="separate"/>
            </w:r>
            <w:r w:rsidRPr="00333EA1">
              <w:rPr>
                <w:rFonts w:ascii="Arial" w:hAnsi="Arial" w:cs="Arial"/>
                <w:noProof/>
                <w:color w:val="000000" w:themeColor="text1"/>
                <w:sz w:val="20"/>
                <w:szCs w:val="20"/>
              </w:rPr>
              <w:t>(Parker et al., 2010)</w:t>
            </w:r>
            <w:r w:rsidRPr="00333EA1">
              <w:rPr>
                <w:rFonts w:ascii="Arial" w:hAnsi="Arial" w:cs="Arial"/>
                <w:color w:val="000000" w:themeColor="text1"/>
                <w:sz w:val="20"/>
                <w:szCs w:val="20"/>
                <w:shd w:val="clear" w:color="auto" w:fill="E6E6E6"/>
              </w:rPr>
              <w:fldChar w:fldCharType="end"/>
            </w:r>
          </w:p>
        </w:tc>
      </w:tr>
      <w:tr w:rsidR="00DC1B36" w:rsidRPr="00333EA1" w14:paraId="2EC75988" w14:textId="77777777" w:rsidTr="00591460">
        <w:tc>
          <w:tcPr>
            <w:tcW w:w="1705" w:type="dxa"/>
            <w:vAlign w:val="center"/>
          </w:tcPr>
          <w:p w14:paraId="654C2394"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Sotalol</w:t>
            </w:r>
          </w:p>
        </w:tc>
        <w:tc>
          <w:tcPr>
            <w:tcW w:w="1620" w:type="dxa"/>
            <w:vAlign w:val="center"/>
          </w:tcPr>
          <w:p w14:paraId="34FDD127"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Approved</w:t>
            </w:r>
          </w:p>
        </w:tc>
        <w:tc>
          <w:tcPr>
            <w:tcW w:w="2434" w:type="dxa"/>
            <w:vAlign w:val="center"/>
          </w:tcPr>
          <w:p w14:paraId="084D8203"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Anti-arrhythmic drug,</w:t>
            </w:r>
          </w:p>
          <w:p w14:paraId="20817373"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beta-blocker</w:t>
            </w:r>
          </w:p>
        </w:tc>
        <w:tc>
          <w:tcPr>
            <w:tcW w:w="1346" w:type="dxa"/>
            <w:vAlign w:val="center"/>
          </w:tcPr>
          <w:p w14:paraId="2136CBC2"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ADRB1, ADRB2, KCNH2</w:t>
            </w:r>
          </w:p>
        </w:tc>
        <w:tc>
          <w:tcPr>
            <w:tcW w:w="2245" w:type="dxa"/>
            <w:vAlign w:val="center"/>
          </w:tcPr>
          <w:p w14:paraId="4E33A82B"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 xml:space="preserve">Serious side effects may include QT prolongation, heart failure, or bronchospasm </w:t>
            </w:r>
            <w:r w:rsidRPr="00333EA1">
              <w:rPr>
                <w:rFonts w:ascii="Arial" w:hAnsi="Arial" w:cs="Arial"/>
                <w:color w:val="000000" w:themeColor="text1"/>
                <w:sz w:val="20"/>
                <w:szCs w:val="20"/>
                <w:shd w:val="clear" w:color="auto" w:fill="E6E6E6"/>
              </w:rPr>
              <w:fldChar w:fldCharType="begin"/>
            </w:r>
            <w:r w:rsidRPr="00333EA1">
              <w:rPr>
                <w:rFonts w:ascii="Arial" w:hAnsi="Arial" w:cs="Arial"/>
                <w:color w:val="000000" w:themeColor="text1"/>
                <w:sz w:val="20"/>
                <w:szCs w:val="20"/>
              </w:rPr>
              <w:instrText xml:space="preserve"> ADDIN ZOTERO_ITEM CSL_CITATION {"citationID":"Xs7Dkfob","properties":{"formattedCitation":"(Sotalol. FDA.gov., 2020)","plainCitation":"(Sotalol. FDA.gov., 2020)","noteIndex":0},"citationItems":[{"id":4411,"uris":["http://zotero.org/users/4539338/items/NNA7JW8T"],"uri":["http://zotero.org/users/4539338/items/NNA7JW8T"],"itemData":{"id":4411,"type":"webpage","title":"Accessed November 28, 2020. https://www.accessdata.fda.gov/drugsatfda_docs/label/2009/022306s000lbl.pdf","author":[{"family":"Sotalol. FDA.gov.","given":""}],"issued":{"date-parts":[["2020"]]}}}],"schema":"https://github.com/citation-style-language/schema/raw/master/csl-citation.json"} </w:instrText>
            </w:r>
            <w:r w:rsidRPr="00333EA1">
              <w:rPr>
                <w:rFonts w:ascii="Arial" w:hAnsi="Arial" w:cs="Arial"/>
                <w:color w:val="000000" w:themeColor="text1"/>
                <w:sz w:val="20"/>
                <w:szCs w:val="20"/>
                <w:shd w:val="clear" w:color="auto" w:fill="E6E6E6"/>
              </w:rPr>
              <w:fldChar w:fldCharType="separate"/>
            </w:r>
            <w:r w:rsidRPr="00333EA1">
              <w:rPr>
                <w:rFonts w:ascii="Arial" w:hAnsi="Arial" w:cs="Arial"/>
                <w:color w:val="000000" w:themeColor="text1"/>
                <w:sz w:val="20"/>
                <w:szCs w:val="20"/>
              </w:rPr>
              <w:t>(Sotalol. FDA.gov., 2020)</w:t>
            </w:r>
            <w:r w:rsidRPr="00333EA1">
              <w:rPr>
                <w:rFonts w:ascii="Arial" w:hAnsi="Arial" w:cs="Arial"/>
                <w:color w:val="000000" w:themeColor="text1"/>
                <w:sz w:val="20"/>
                <w:szCs w:val="20"/>
                <w:shd w:val="clear" w:color="auto" w:fill="E6E6E6"/>
              </w:rPr>
              <w:fldChar w:fldCharType="end"/>
            </w:r>
          </w:p>
        </w:tc>
      </w:tr>
      <w:tr w:rsidR="00DC1B36" w:rsidRPr="00333EA1" w14:paraId="06F8DB49" w14:textId="77777777" w:rsidTr="00591460">
        <w:tc>
          <w:tcPr>
            <w:tcW w:w="1705" w:type="dxa"/>
            <w:vAlign w:val="center"/>
          </w:tcPr>
          <w:p w14:paraId="30C27D11"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Melatonin</w:t>
            </w:r>
          </w:p>
        </w:tc>
        <w:tc>
          <w:tcPr>
            <w:tcW w:w="1620" w:type="dxa"/>
            <w:vAlign w:val="center"/>
          </w:tcPr>
          <w:p w14:paraId="3044B3AB"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Approved</w:t>
            </w:r>
          </w:p>
        </w:tc>
        <w:tc>
          <w:tcPr>
            <w:tcW w:w="2434" w:type="dxa"/>
            <w:vAlign w:val="center"/>
          </w:tcPr>
          <w:p w14:paraId="56AD6D54"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Insomnia, melatonin is a melatonin receptor agonist, used as a dietary supplement</w:t>
            </w:r>
          </w:p>
        </w:tc>
        <w:tc>
          <w:tcPr>
            <w:tcW w:w="1346" w:type="dxa"/>
            <w:vAlign w:val="center"/>
          </w:tcPr>
          <w:p w14:paraId="564810EC"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MTNR1A, MTNR1B</w:t>
            </w:r>
          </w:p>
        </w:tc>
        <w:tc>
          <w:tcPr>
            <w:tcW w:w="2245" w:type="dxa"/>
            <w:vAlign w:val="center"/>
          </w:tcPr>
          <w:p w14:paraId="25BE0CAC" w14:textId="77777777" w:rsidR="00DC1B36" w:rsidRPr="00333EA1" w:rsidRDefault="00DC1B36" w:rsidP="00591460">
            <w:pPr>
              <w:spacing w:line="480" w:lineRule="auto"/>
              <w:rPr>
                <w:rFonts w:ascii="Arial" w:hAnsi="Arial" w:cs="Arial"/>
                <w:color w:val="000000" w:themeColor="text1"/>
                <w:sz w:val="20"/>
                <w:szCs w:val="20"/>
              </w:rPr>
            </w:pPr>
          </w:p>
        </w:tc>
      </w:tr>
      <w:tr w:rsidR="00DC1B36" w:rsidRPr="00333EA1" w14:paraId="5B87183C" w14:textId="77777777" w:rsidTr="00591460">
        <w:tc>
          <w:tcPr>
            <w:tcW w:w="1705" w:type="dxa"/>
            <w:vAlign w:val="center"/>
          </w:tcPr>
          <w:p w14:paraId="140126DC"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lastRenderedPageBreak/>
              <w:t>Solifenacin</w:t>
            </w:r>
          </w:p>
        </w:tc>
        <w:tc>
          <w:tcPr>
            <w:tcW w:w="1620" w:type="dxa"/>
            <w:vAlign w:val="center"/>
          </w:tcPr>
          <w:p w14:paraId="0B3C8743"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Approved</w:t>
            </w:r>
          </w:p>
        </w:tc>
        <w:tc>
          <w:tcPr>
            <w:tcW w:w="2434" w:type="dxa"/>
            <w:vAlign w:val="center"/>
          </w:tcPr>
          <w:p w14:paraId="2C1DD7CE"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Overactive bladder with urinary incontinence/muscarinic receptor antagonist</w:t>
            </w:r>
          </w:p>
        </w:tc>
        <w:tc>
          <w:tcPr>
            <w:tcW w:w="1346" w:type="dxa"/>
            <w:vAlign w:val="center"/>
          </w:tcPr>
          <w:p w14:paraId="0FECB1BC"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CHRM3</w:t>
            </w:r>
          </w:p>
        </w:tc>
        <w:tc>
          <w:tcPr>
            <w:tcW w:w="2245" w:type="dxa"/>
            <w:vAlign w:val="center"/>
          </w:tcPr>
          <w:p w14:paraId="066B401C"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 xml:space="preserve">Symptoms of overdose may include fast heartbeat </w:t>
            </w:r>
            <w:r w:rsidRPr="00333EA1">
              <w:rPr>
                <w:rFonts w:ascii="Arial" w:hAnsi="Arial" w:cs="Arial"/>
                <w:color w:val="000000" w:themeColor="text1"/>
                <w:sz w:val="20"/>
                <w:szCs w:val="20"/>
                <w:shd w:val="clear" w:color="auto" w:fill="E6E6E6"/>
              </w:rPr>
              <w:fldChar w:fldCharType="begin"/>
            </w:r>
            <w:r w:rsidRPr="00333EA1">
              <w:rPr>
                <w:rFonts w:ascii="Arial" w:hAnsi="Arial" w:cs="Arial"/>
                <w:color w:val="000000" w:themeColor="text1"/>
                <w:sz w:val="20"/>
                <w:szCs w:val="20"/>
              </w:rPr>
              <w:instrText xml:space="preserve"> ADDIN ZOTERO_ITEM CSL_CITATION {"citationID":"R5k2Tuoz","properties":{"formattedCitation":"(Solifenacin. Medline Plus., 2020)","plainCitation":"(Solifenacin. Medline Plus., 2020)","noteIndex":0},"citationItems":[{"id":4410,"uris":["http://zotero.org/users/4539338/items/LUZTJT6F"],"uri":["http://zotero.org/users/4539338/items/LUZTJT6F"],"itemData":{"id":4410,"type":"webpage","title":"Accessed November 28, 2020. https://medlineplus.gov/druginfo/meds/a605019.html","author":[{"family":"Solifenacin. Medline Plus.","given":""}],"issued":{"date-parts":[["2020"]]}}}],"schema":"https://github.com/citation-style-language/schema/raw/master/csl-citation.json"} </w:instrText>
            </w:r>
            <w:r w:rsidRPr="00333EA1">
              <w:rPr>
                <w:rFonts w:ascii="Arial" w:hAnsi="Arial" w:cs="Arial"/>
                <w:color w:val="000000" w:themeColor="text1"/>
                <w:sz w:val="20"/>
                <w:szCs w:val="20"/>
                <w:shd w:val="clear" w:color="auto" w:fill="E6E6E6"/>
              </w:rPr>
              <w:fldChar w:fldCharType="separate"/>
            </w:r>
            <w:r w:rsidRPr="00333EA1">
              <w:rPr>
                <w:rFonts w:ascii="Arial" w:hAnsi="Arial" w:cs="Arial"/>
                <w:noProof/>
                <w:color w:val="000000" w:themeColor="text1"/>
                <w:sz w:val="20"/>
                <w:szCs w:val="20"/>
              </w:rPr>
              <w:t>(Solifenacin. Medline Plus., 2020)</w:t>
            </w:r>
            <w:r w:rsidRPr="00333EA1">
              <w:rPr>
                <w:rFonts w:ascii="Arial" w:hAnsi="Arial" w:cs="Arial"/>
                <w:color w:val="000000" w:themeColor="text1"/>
                <w:sz w:val="20"/>
                <w:szCs w:val="20"/>
                <w:shd w:val="clear" w:color="auto" w:fill="E6E6E6"/>
              </w:rPr>
              <w:fldChar w:fldCharType="end"/>
            </w:r>
            <w:r w:rsidRPr="00333EA1">
              <w:rPr>
                <w:rFonts w:ascii="Arial" w:hAnsi="Arial" w:cs="Arial"/>
                <w:color w:val="000000" w:themeColor="text1"/>
                <w:sz w:val="20"/>
                <w:szCs w:val="20"/>
                <w:shd w:val="clear" w:color="auto" w:fill="E6E6E6"/>
              </w:rPr>
              <w:fldChar w:fldCharType="begin"/>
            </w:r>
            <w:r w:rsidRPr="00333EA1">
              <w:rPr>
                <w:rFonts w:ascii="Arial" w:hAnsi="Arial" w:cs="Arial"/>
                <w:color w:val="000000" w:themeColor="text1"/>
                <w:sz w:val="20"/>
                <w:szCs w:val="20"/>
              </w:rPr>
              <w:instrText xml:space="preserve"> ADDIN ZOTERO_ITEM CSL_CITATION {"citationID":"s5Vq1NGS","properties":{"formattedCitation":"(Solifenacin. Medline Plus., n.d.)","plainCitation":"(Solifenacin. Medline Plus., n.d.)","dontUpdate":true,"noteIndex":0},"citationItems":[{"id":4410,"uris":["http://zotero.org/users/4539338/items/LUZTJT6F"],"uri":["http://zotero.org/users/4539338/items/LUZTJT6F"],"itemData":{"id":4410,"type":"webpage","title":"Accessed November 28, 2020. https://medlineplus.gov/druginfo/meds/a605019.html","author":[{"family":"Solifenacin. Medline Plus.","given":""}],"issued":{"date-parts":[["2020"]]}}}],"schema":"https://github.com/citation-style-language/schema/raw/master/csl-citation.json"} </w:instrText>
            </w:r>
            <w:r w:rsidRPr="00333EA1">
              <w:rPr>
                <w:rFonts w:ascii="Arial" w:hAnsi="Arial" w:cs="Arial"/>
                <w:color w:val="000000" w:themeColor="text1"/>
                <w:sz w:val="20"/>
                <w:szCs w:val="20"/>
                <w:shd w:val="clear" w:color="auto" w:fill="E6E6E6"/>
              </w:rPr>
              <w:fldChar w:fldCharType="end"/>
            </w:r>
            <w:r w:rsidRPr="00333EA1">
              <w:rPr>
                <w:rFonts w:ascii="Arial" w:hAnsi="Arial" w:cs="Arial"/>
                <w:color w:val="000000" w:themeColor="text1"/>
                <w:sz w:val="20"/>
                <w:szCs w:val="20"/>
                <w:shd w:val="clear" w:color="auto" w:fill="E6E6E6"/>
              </w:rPr>
              <w:fldChar w:fldCharType="begin"/>
            </w:r>
            <w:r w:rsidRPr="00333EA1">
              <w:rPr>
                <w:rFonts w:ascii="Arial" w:hAnsi="Arial" w:cs="Arial"/>
                <w:color w:val="000000" w:themeColor="text1"/>
                <w:sz w:val="20"/>
                <w:szCs w:val="20"/>
              </w:rPr>
              <w:instrText xml:space="preserve"> ADDIN ZOTERO_TEMP </w:instrText>
            </w:r>
            <w:r w:rsidRPr="00333EA1">
              <w:rPr>
                <w:rFonts w:ascii="Arial" w:hAnsi="Arial" w:cs="Arial"/>
                <w:color w:val="000000" w:themeColor="text1"/>
                <w:sz w:val="20"/>
                <w:szCs w:val="20"/>
                <w:shd w:val="clear" w:color="auto" w:fill="E6E6E6"/>
              </w:rPr>
              <w:fldChar w:fldCharType="end"/>
            </w:r>
          </w:p>
        </w:tc>
      </w:tr>
      <w:tr w:rsidR="00DC1B36" w:rsidRPr="00333EA1" w14:paraId="325839CF" w14:textId="77777777" w:rsidTr="00591460">
        <w:tc>
          <w:tcPr>
            <w:tcW w:w="1705" w:type="dxa"/>
            <w:vAlign w:val="center"/>
          </w:tcPr>
          <w:p w14:paraId="68B99A20"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BI-2536</w:t>
            </w:r>
          </w:p>
        </w:tc>
        <w:tc>
          <w:tcPr>
            <w:tcW w:w="1620" w:type="dxa"/>
            <w:vAlign w:val="center"/>
          </w:tcPr>
          <w:p w14:paraId="335A9FC8"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Investigational drug (Phase 2)</w:t>
            </w:r>
          </w:p>
        </w:tc>
        <w:tc>
          <w:tcPr>
            <w:tcW w:w="2434" w:type="dxa"/>
            <w:vAlign w:val="center"/>
          </w:tcPr>
          <w:p w14:paraId="36B0938C"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Oncology/PLK1 and BRD4 Inhibitor</w:t>
            </w:r>
          </w:p>
        </w:tc>
        <w:tc>
          <w:tcPr>
            <w:tcW w:w="1346" w:type="dxa"/>
            <w:vAlign w:val="center"/>
          </w:tcPr>
          <w:p w14:paraId="2F193E2C"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PLK1, BRD4</w:t>
            </w:r>
          </w:p>
        </w:tc>
        <w:tc>
          <w:tcPr>
            <w:tcW w:w="2245" w:type="dxa"/>
            <w:vAlign w:val="center"/>
          </w:tcPr>
          <w:p w14:paraId="7672EF6E" w14:textId="77777777" w:rsidR="00DC1B36" w:rsidRPr="00333EA1" w:rsidRDefault="00DC1B36" w:rsidP="00591460">
            <w:pPr>
              <w:spacing w:line="480" w:lineRule="auto"/>
              <w:rPr>
                <w:rFonts w:ascii="Arial" w:hAnsi="Arial" w:cs="Arial"/>
                <w:color w:val="000000" w:themeColor="text1"/>
                <w:sz w:val="20"/>
                <w:szCs w:val="20"/>
              </w:rPr>
            </w:pPr>
          </w:p>
        </w:tc>
      </w:tr>
      <w:tr w:rsidR="00DC1B36" w:rsidRPr="00333EA1" w14:paraId="00E21D8D" w14:textId="77777777" w:rsidTr="00591460">
        <w:tc>
          <w:tcPr>
            <w:tcW w:w="1705" w:type="dxa"/>
            <w:vAlign w:val="center"/>
          </w:tcPr>
          <w:p w14:paraId="7DAE94EF"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Daunorubicin</w:t>
            </w:r>
          </w:p>
        </w:tc>
        <w:tc>
          <w:tcPr>
            <w:tcW w:w="1620" w:type="dxa"/>
            <w:vAlign w:val="center"/>
          </w:tcPr>
          <w:p w14:paraId="2D9493C1"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Approved</w:t>
            </w:r>
          </w:p>
        </w:tc>
        <w:tc>
          <w:tcPr>
            <w:tcW w:w="2434" w:type="dxa"/>
            <w:vAlign w:val="center"/>
          </w:tcPr>
          <w:p w14:paraId="37F52190"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Anthracycline. DNA and RNA synthesis and inhibits DNA synthesis/Topoisomerase II inhibitor</w:t>
            </w:r>
          </w:p>
        </w:tc>
        <w:tc>
          <w:tcPr>
            <w:tcW w:w="1346" w:type="dxa"/>
            <w:vAlign w:val="center"/>
          </w:tcPr>
          <w:p w14:paraId="521571F8"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DNA, TOP2A</w:t>
            </w:r>
          </w:p>
        </w:tc>
        <w:tc>
          <w:tcPr>
            <w:tcW w:w="2245" w:type="dxa"/>
            <w:vAlign w:val="center"/>
          </w:tcPr>
          <w:p w14:paraId="1BC21D13"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 xml:space="preserve">Doxorubicin analog, known to cause cardiotoxicity </w:t>
            </w:r>
            <w:r w:rsidRPr="00333EA1">
              <w:rPr>
                <w:rFonts w:ascii="Arial" w:hAnsi="Arial" w:cs="Arial"/>
                <w:color w:val="000000" w:themeColor="text1"/>
                <w:sz w:val="20"/>
                <w:szCs w:val="20"/>
                <w:shd w:val="clear" w:color="auto" w:fill="E6E6E6"/>
              </w:rPr>
              <w:fldChar w:fldCharType="begin"/>
            </w:r>
            <w:r w:rsidRPr="00333EA1">
              <w:rPr>
                <w:rFonts w:ascii="Arial" w:hAnsi="Arial" w:cs="Arial"/>
                <w:color w:val="000000" w:themeColor="text1"/>
                <w:sz w:val="20"/>
                <w:szCs w:val="20"/>
              </w:rPr>
              <w:instrText xml:space="preserve"> ADDIN ZOTERO_ITEM CSL_CITATION {"citationID":"Errpx36y","properties":{"formattedCitation":"(Menna et al., 2012; Sawyer et al., 2010)","plainCitation":"(Menna et al., 2012; Sawyer et al., 2010)","noteIndex":0},"citationItems":[{"id":4379,"uris":["http://zotero.org/users/4539338/items/NXPVD6K2"],"uri":["http://zotero.org/users/4539338/items/NXPVD6K2"],"itemData":{"id":4379,"type":"article-journal","abstract":"Introduction: Anthracyclines are widely prescribed anticancer agents that cause a dose-related cardiotoxicity, often aggravated by nonanthracycline chemotherapeutics or new generation targeted drugs. Anthracycline cardiotoxicity may occur anytime in the life of cancer survivors. Understanding the molecular mechanisms and clinical correlates of cardiotoxicity is necessary to improve the therapeutic index of anthracyclines or to identify active, but less cardiotoxic analogs. Areas covered: The authors review the pharmacokinetic, pharmacodynamic and biochemical mechanisms of anthracycline cardiotoxicity and correlate them to clinical phenotypes of cardiac dysfunction. Attention is paid to bioactivation mechanisms that converted anthracyclines to reactive oxygen species (ROS) or long-lived secondary alcohol metabolites. Preclinical aspects and clinical implications of the “oxidative stress” or “secondary alcohol metabolite” hypotheses are discussed on the basis of literature that cuts across bench and evidence-based medicine. Interactions of anthracyclines with comorbidities or unfavorable lifestyle choices were identified as important cofactors of the lifetime risk of cardiotoxicity and as possible targets of preventative strategies. Expert opinion: Anthracycline cardiotoxicity is a multifactorial process that needs to be incorporated in a translational framework, where individual genetic background, comorbidities, lifestyles and other drugs play an equally important role. Fears for cardiotoxicity should not discourage from using anthracyclines in many oncologic settings. Cardioprotective strategies are available and should be used more pragmatically in routine clinical practice.","container-title":"Expert Opinion on Drug Safety","DOI":"10.1517/14740338.2011.589834","ISSN":"1474-0338","issue":"sup1","note":"publisher: Taylor &amp; Francis\n_eprint: https://doi.org/10.1517/14740338.2011.589834\nPMID: 21635149","page":"S21-S36","source":"Taylor and Francis+NEJM","title":"Anthracycline cardiotoxicity","volume":"11","author":[{"family":"Menna","given":"Pierantonio"},{"family":"Paz","given":"Odalys Gonzalez"},{"family":"Chello","given":"Massimo"},{"family":"Covino","given":"Elvio"},{"family":"Salvatorelli","given":"Emanuela"},{"family":"Minotti","given":"Giorgio"}],"issued":{"date-parts":[["2012",5,1]]}}},{"id":4382,"uris":["http://zotero.org/users/4539338/items/AW8PLYD8"],"uri":["http://zotero.org/users/4539338/items/AW8PLYD8"],"itemData":{"id":4382,"type":"article-journal","abstract":"Anthracycline antibiotics have saved the lives of many cancer victims in the 50 plus years since their discovery. A major limitation of their use is the dose-limiting cardiotoxicity. Efforts focusing on understanding the biochemical basis for anthracycline cardiac effects have provided several strategies currently in clinical use: limit dose exposure, encapsulate anthracyclines in liposomes to reduce myocardial uptake, administer concurrently with the iron chelator dexrazoxane to reduce free iron-catalyzed reactive oxygen species formation; and modify anthracycline structure in an effort to reduce myocardial toxicity. Despite these efforts, anthracycline-induced heart failure continues to occur with consequences for both morbidity and mortality. Our inability to predict and prevent anthracycline cardiotoxicity is, in part, due to the fact that the molecular and cellular mechanisms remain controversial and incompletely understood. Studies examining the effects of anthracyclines in cardiac myocytes in vitro and small animals in vivo have demonstrated several forms of cardiac injury, and it remains unclear how these translate to the clinical setting. Given the clinical evidence that myocyte death occurs after anthracycline exposure in the form of elevations in serum troponin, myocyte cell death seems to be a probable mechanism for anthracycline-induced cardiac injury. Other mechanisms of myocyte injury include the development of cellular \"sarcopenia\" characterized by disruption of normal sarcomere structure. Anthracyclines suppress expression of several cardiac transcription factors, and this may play a role in the development of myocyte death as well as sarcopenia. Degradation of the giant myofilament protein titin may represent an important proximal step that leads to accelerated myofilament degradation. An interesting interaction has been noted clinically between anthracyclines and newer cancer therapies that target the erbB2 receptor tyrosine kinase. There is now evidence that erbB2 signaling in response to the ligand neuregulin regulates anthracycline uptake into cells via the multidrug-resistance protein. Therefore, up-regulation of cardiac neuregulin signaling may be one strategy to limit myocardial anthracycline injury. Moreover, assessing an individual's risk for anthracycline injury may be improved by having some measure of endogenous activity of this and other myocardial protective signals.","container-title":"Progress in Cardiovascular Diseases","DOI":"10.1016/j.pcad.2010.06.007","ISSN":"1873-1740","issue":"2","journalAbbreviation":"Prog Cardiovasc Dis","language":"eng","note":"PMID: 20728697\nPMCID: PMC2933091","page":"105-113","source":"PubMed","title":"Mechanisms of anthracycline cardiac injury: can we identify strategies for cardioprotection?","title-short":"Mechanisms of anthracycline cardiac injury","volume":"53","author":[{"family":"Sawyer","given":"Douglas B."},{"family":"Peng","given":"Xuyang"},{"family":"Chen","given":"Billy"},{"family":"Pentassuglia","given":"Laura"},{"family":"Lim","given":"Chee Chew"}],"issued":{"date-parts":[["2010",10]]}}}],"schema":"https://github.com/citation-style-language/schema/raw/master/csl-citation.json"} </w:instrText>
            </w:r>
            <w:r w:rsidRPr="00333EA1">
              <w:rPr>
                <w:rFonts w:ascii="Arial" w:hAnsi="Arial" w:cs="Arial"/>
                <w:color w:val="000000" w:themeColor="text1"/>
                <w:sz w:val="20"/>
                <w:szCs w:val="20"/>
                <w:shd w:val="clear" w:color="auto" w:fill="E6E6E6"/>
              </w:rPr>
              <w:fldChar w:fldCharType="separate"/>
            </w:r>
            <w:r w:rsidRPr="00333EA1">
              <w:rPr>
                <w:rFonts w:ascii="Arial" w:hAnsi="Arial" w:cs="Arial"/>
                <w:noProof/>
                <w:color w:val="000000" w:themeColor="text1"/>
                <w:sz w:val="20"/>
                <w:szCs w:val="20"/>
              </w:rPr>
              <w:t>(Menna et al., 2012; Sawyer et al., 2010)</w:t>
            </w:r>
            <w:r w:rsidRPr="00333EA1">
              <w:rPr>
                <w:rFonts w:ascii="Arial" w:hAnsi="Arial" w:cs="Arial"/>
                <w:color w:val="000000" w:themeColor="text1"/>
                <w:sz w:val="20"/>
                <w:szCs w:val="20"/>
                <w:shd w:val="clear" w:color="auto" w:fill="E6E6E6"/>
              </w:rPr>
              <w:fldChar w:fldCharType="end"/>
            </w:r>
          </w:p>
        </w:tc>
      </w:tr>
      <w:tr w:rsidR="00DC1B36" w:rsidRPr="00333EA1" w14:paraId="3E68FEC8" w14:textId="77777777" w:rsidTr="00591460">
        <w:tc>
          <w:tcPr>
            <w:tcW w:w="1705" w:type="dxa"/>
            <w:vAlign w:val="center"/>
          </w:tcPr>
          <w:p w14:paraId="7D944DCF"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Nitrendipine</w:t>
            </w:r>
          </w:p>
        </w:tc>
        <w:tc>
          <w:tcPr>
            <w:tcW w:w="1620" w:type="dxa"/>
            <w:vAlign w:val="center"/>
          </w:tcPr>
          <w:p w14:paraId="3D7A091E"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Approved</w:t>
            </w:r>
          </w:p>
        </w:tc>
        <w:tc>
          <w:tcPr>
            <w:tcW w:w="2434" w:type="dxa"/>
            <w:vAlign w:val="center"/>
          </w:tcPr>
          <w:p w14:paraId="0DBCA023"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Antihypertensive agent, vasodilator/calcium channel blocker</w:t>
            </w:r>
          </w:p>
        </w:tc>
        <w:tc>
          <w:tcPr>
            <w:tcW w:w="1346" w:type="dxa"/>
            <w:vAlign w:val="center"/>
          </w:tcPr>
          <w:p w14:paraId="18582932"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CACNA2D1, CACNA1C, CACNB2</w:t>
            </w:r>
          </w:p>
        </w:tc>
        <w:tc>
          <w:tcPr>
            <w:tcW w:w="2245" w:type="dxa"/>
            <w:vAlign w:val="center"/>
          </w:tcPr>
          <w:p w14:paraId="09312BC6" w14:textId="77777777" w:rsidR="00DC1B36" w:rsidRPr="00333EA1" w:rsidRDefault="00DC1B36" w:rsidP="00591460">
            <w:pPr>
              <w:spacing w:line="480" w:lineRule="auto"/>
              <w:rPr>
                <w:rFonts w:ascii="Arial" w:hAnsi="Arial" w:cs="Arial"/>
                <w:color w:val="000000" w:themeColor="text1"/>
                <w:sz w:val="20"/>
                <w:szCs w:val="20"/>
              </w:rPr>
            </w:pPr>
          </w:p>
        </w:tc>
      </w:tr>
      <w:tr w:rsidR="00DC1B36" w:rsidRPr="00333EA1" w14:paraId="0638212E" w14:textId="77777777" w:rsidTr="00591460">
        <w:tc>
          <w:tcPr>
            <w:tcW w:w="1705" w:type="dxa"/>
            <w:vAlign w:val="center"/>
          </w:tcPr>
          <w:p w14:paraId="5D030CCE"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PHA-767491</w:t>
            </w:r>
          </w:p>
        </w:tc>
        <w:tc>
          <w:tcPr>
            <w:tcW w:w="1620" w:type="dxa"/>
            <w:vAlign w:val="center"/>
          </w:tcPr>
          <w:p w14:paraId="590F25FB"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Tool compound</w:t>
            </w:r>
          </w:p>
        </w:tc>
        <w:tc>
          <w:tcPr>
            <w:tcW w:w="2434" w:type="dxa"/>
            <w:vAlign w:val="center"/>
          </w:tcPr>
          <w:p w14:paraId="353104A5" w14:textId="77777777" w:rsidR="00DC1B36" w:rsidRPr="00333EA1" w:rsidRDefault="00DC1B36" w:rsidP="00591460">
            <w:pPr>
              <w:spacing w:line="480" w:lineRule="auto"/>
              <w:rPr>
                <w:rFonts w:ascii="Arial" w:hAnsi="Arial" w:cs="Arial"/>
                <w:color w:val="000000" w:themeColor="text1"/>
                <w:sz w:val="20"/>
                <w:szCs w:val="20"/>
              </w:rPr>
            </w:pPr>
          </w:p>
        </w:tc>
        <w:tc>
          <w:tcPr>
            <w:tcW w:w="1346" w:type="dxa"/>
            <w:vAlign w:val="center"/>
          </w:tcPr>
          <w:p w14:paraId="348C0E73"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CDK inhibitor</w:t>
            </w:r>
          </w:p>
        </w:tc>
        <w:tc>
          <w:tcPr>
            <w:tcW w:w="2245" w:type="dxa"/>
            <w:vAlign w:val="center"/>
          </w:tcPr>
          <w:p w14:paraId="7C1329D1" w14:textId="77777777" w:rsidR="00DC1B36" w:rsidRPr="00333EA1" w:rsidRDefault="00DC1B36" w:rsidP="00591460">
            <w:pPr>
              <w:spacing w:line="480" w:lineRule="auto"/>
              <w:rPr>
                <w:rFonts w:ascii="Arial" w:hAnsi="Arial" w:cs="Arial"/>
                <w:color w:val="000000" w:themeColor="text1"/>
                <w:sz w:val="20"/>
                <w:szCs w:val="20"/>
                <w:highlight w:val="yellow"/>
              </w:rPr>
            </w:pPr>
          </w:p>
        </w:tc>
      </w:tr>
      <w:tr w:rsidR="00DC1B36" w:rsidRPr="00333EA1" w14:paraId="1C48781B" w14:textId="77777777" w:rsidTr="00591460">
        <w:tc>
          <w:tcPr>
            <w:tcW w:w="1705" w:type="dxa"/>
            <w:vAlign w:val="center"/>
          </w:tcPr>
          <w:p w14:paraId="325D84B4"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Rosiglitazone</w:t>
            </w:r>
          </w:p>
        </w:tc>
        <w:tc>
          <w:tcPr>
            <w:tcW w:w="1620" w:type="dxa"/>
            <w:vAlign w:val="center"/>
          </w:tcPr>
          <w:p w14:paraId="48B8C090"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Approved</w:t>
            </w:r>
          </w:p>
        </w:tc>
        <w:tc>
          <w:tcPr>
            <w:tcW w:w="2434" w:type="dxa"/>
            <w:vAlign w:val="center"/>
          </w:tcPr>
          <w:p w14:paraId="72C01F9D"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Type 2 diabetes/</w:t>
            </w:r>
          </w:p>
          <w:p w14:paraId="4F89B8EE"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PPAR-γ agonist</w:t>
            </w:r>
          </w:p>
        </w:tc>
        <w:tc>
          <w:tcPr>
            <w:tcW w:w="1346" w:type="dxa"/>
            <w:vAlign w:val="center"/>
          </w:tcPr>
          <w:p w14:paraId="718855B4"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PPARG</w:t>
            </w:r>
          </w:p>
        </w:tc>
        <w:tc>
          <w:tcPr>
            <w:tcW w:w="2245" w:type="dxa"/>
            <w:vAlign w:val="center"/>
          </w:tcPr>
          <w:p w14:paraId="164CD307"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 xml:space="preserve">Associated with increase risk of myocardial infarction </w:t>
            </w:r>
            <w:r w:rsidRPr="00333EA1">
              <w:rPr>
                <w:rFonts w:ascii="Arial" w:hAnsi="Arial" w:cs="Arial"/>
                <w:color w:val="000000" w:themeColor="text1"/>
                <w:sz w:val="20"/>
                <w:szCs w:val="20"/>
                <w:shd w:val="clear" w:color="auto" w:fill="E6E6E6"/>
              </w:rPr>
              <w:fldChar w:fldCharType="begin"/>
            </w:r>
            <w:r w:rsidRPr="00333EA1">
              <w:rPr>
                <w:rFonts w:ascii="Arial" w:hAnsi="Arial" w:cs="Arial"/>
                <w:color w:val="000000" w:themeColor="text1"/>
                <w:sz w:val="20"/>
                <w:szCs w:val="20"/>
              </w:rPr>
              <w:instrText xml:space="preserve"> ADDIN ZOTERO_ITEM CSL_CITATION {"citationID":"8MJBOr6X","properties":{"formattedCitation":"(Nissen and Wolski, 2007)","plainCitation":"(Nissen and Wolski, 2007)","noteIndex":0},"citationItems":[{"id":4412,"uris":["http://zotero.org/users/4539338/items/UBHEVDXP"],"uri":["http://zotero.org/users/4539338/items/UBHEVDXP"],"itemData":{"id":4412,"type":"article-journal","abstract":"In this meta-analysis, rosiglitazone, a peroxisome-proliferator–activated receptor agonist used for glucose control in type 2 diabetes, was found to be associated with an increased risk of myocardial infarction and death from cardiovascular causes. These findings raise safety concerns, but further analyses of patient-level data are needed to draw definitive conclusions.","container-title":"New England Journal of Medicine","DOI":"10.1056/NEJMoa072761","ISSN":"0028-4793","issue":"24","note":"publisher: Massachusetts Medical Society\n_eprint: https://doi.org/10.1056/NEJMoa072761\nPMID: 17517853","page":"2457-2471","source":"Taylor and Francis+NEJM","title":"Effect of Rosiglitazone on the Risk of Myocardial Infarction and Death from Cardiovascular Causes","volume":"356","author":[{"family":"Nissen","given":"Steven E."},{"family":"Wolski","given":"Kathy"}],"issued":{"date-parts":[["2007",6,14]]}}}],"schema":"https://github.com/citation-style-language/schema/raw/master/csl-citation.json"} </w:instrText>
            </w:r>
            <w:r w:rsidRPr="00333EA1">
              <w:rPr>
                <w:rFonts w:ascii="Arial" w:hAnsi="Arial" w:cs="Arial"/>
                <w:color w:val="000000" w:themeColor="text1"/>
                <w:sz w:val="20"/>
                <w:szCs w:val="20"/>
                <w:shd w:val="clear" w:color="auto" w:fill="E6E6E6"/>
              </w:rPr>
              <w:fldChar w:fldCharType="separate"/>
            </w:r>
            <w:r w:rsidRPr="00333EA1">
              <w:rPr>
                <w:rFonts w:ascii="Arial" w:hAnsi="Arial" w:cs="Arial"/>
                <w:noProof/>
                <w:color w:val="000000" w:themeColor="text1"/>
                <w:sz w:val="20"/>
                <w:szCs w:val="20"/>
              </w:rPr>
              <w:t>(Nissen and Wolski, 2007)</w:t>
            </w:r>
            <w:r w:rsidRPr="00333EA1">
              <w:rPr>
                <w:rFonts w:ascii="Arial" w:hAnsi="Arial" w:cs="Arial"/>
                <w:color w:val="000000" w:themeColor="text1"/>
                <w:sz w:val="20"/>
                <w:szCs w:val="20"/>
                <w:shd w:val="clear" w:color="auto" w:fill="E6E6E6"/>
              </w:rPr>
              <w:fldChar w:fldCharType="end"/>
            </w:r>
          </w:p>
        </w:tc>
      </w:tr>
      <w:tr w:rsidR="00DC1B36" w:rsidRPr="00333EA1" w14:paraId="62AD4AF3" w14:textId="77777777" w:rsidTr="00591460">
        <w:tc>
          <w:tcPr>
            <w:tcW w:w="1705" w:type="dxa"/>
            <w:vAlign w:val="center"/>
          </w:tcPr>
          <w:p w14:paraId="23345F01"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AG-1478</w:t>
            </w:r>
          </w:p>
        </w:tc>
        <w:tc>
          <w:tcPr>
            <w:tcW w:w="1620" w:type="dxa"/>
            <w:vAlign w:val="center"/>
          </w:tcPr>
          <w:p w14:paraId="2B2D6FDF"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Tool compound</w:t>
            </w:r>
          </w:p>
        </w:tc>
        <w:tc>
          <w:tcPr>
            <w:tcW w:w="2434" w:type="dxa"/>
            <w:vAlign w:val="center"/>
          </w:tcPr>
          <w:p w14:paraId="092994EF"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EGFR inhibitor</w:t>
            </w:r>
          </w:p>
        </w:tc>
        <w:tc>
          <w:tcPr>
            <w:tcW w:w="1346" w:type="dxa"/>
            <w:vAlign w:val="center"/>
          </w:tcPr>
          <w:p w14:paraId="1B433CEA" w14:textId="77777777" w:rsidR="00DC1B36" w:rsidRPr="00333EA1" w:rsidRDefault="00DC1B36" w:rsidP="00591460">
            <w:pPr>
              <w:spacing w:line="480" w:lineRule="auto"/>
              <w:rPr>
                <w:rFonts w:ascii="Arial" w:hAnsi="Arial" w:cs="Arial"/>
                <w:color w:val="000000" w:themeColor="text1"/>
                <w:sz w:val="20"/>
                <w:szCs w:val="20"/>
              </w:rPr>
            </w:pPr>
            <w:r w:rsidRPr="00333EA1">
              <w:rPr>
                <w:rFonts w:ascii="Arial" w:hAnsi="Arial" w:cs="Arial"/>
                <w:color w:val="000000" w:themeColor="text1"/>
                <w:sz w:val="20"/>
                <w:szCs w:val="20"/>
              </w:rPr>
              <w:t>EGFR</w:t>
            </w:r>
          </w:p>
        </w:tc>
        <w:tc>
          <w:tcPr>
            <w:tcW w:w="2245" w:type="dxa"/>
            <w:vAlign w:val="center"/>
          </w:tcPr>
          <w:p w14:paraId="7D84974C" w14:textId="77777777" w:rsidR="00DC1B36" w:rsidRPr="00333EA1" w:rsidRDefault="00DC1B36" w:rsidP="00591460">
            <w:pPr>
              <w:spacing w:line="480" w:lineRule="auto"/>
              <w:rPr>
                <w:rFonts w:ascii="Arial" w:hAnsi="Arial" w:cs="Arial"/>
                <w:color w:val="000000" w:themeColor="text1"/>
                <w:sz w:val="20"/>
                <w:szCs w:val="20"/>
              </w:rPr>
            </w:pPr>
          </w:p>
        </w:tc>
      </w:tr>
    </w:tbl>
    <w:p w14:paraId="28F07E4A" w14:textId="6CFC5058" w:rsidR="003C5349" w:rsidRPr="00DC1B36" w:rsidRDefault="00DC1B36" w:rsidP="00DC1B36">
      <w:pPr>
        <w:spacing w:line="480" w:lineRule="auto"/>
        <w:rPr>
          <w:rFonts w:ascii="Arial" w:hAnsi="Arial" w:cs="Arial"/>
          <w:color w:val="000000" w:themeColor="text1"/>
        </w:rPr>
      </w:pPr>
      <w:r w:rsidRPr="00333EA1">
        <w:rPr>
          <w:rFonts w:ascii="Arial" w:hAnsi="Arial" w:cs="Arial"/>
          <w:color w:val="000000" w:themeColor="text1"/>
        </w:rPr>
        <w:t>ACE, angiotensin converting enzyme; ADRB, adrenoceptor beta; ALOX5, arachidonate 5-lipoxygenase; BRAF, B-Raf proto-oncogene, serine/threonine kinase; BRD, bromodomain containing.;CACNA/B, calcium voltage-gated channel auxiliary subunit (A/B); CDK, cyclin dependent kinase; CHRM, cholinergic receptor muscarinic; dacB, D-</w:t>
      </w:r>
      <w:r w:rsidRPr="00333EA1">
        <w:rPr>
          <w:rFonts w:ascii="Arial" w:hAnsi="Arial" w:cs="Arial"/>
          <w:color w:val="000000" w:themeColor="text1"/>
        </w:rPr>
        <w:lastRenderedPageBreak/>
        <w:t>alanyl-D-alanine carboxypeptidase; DRD, dopamine receptor D; EGFR, epidermal growth factor receptor; HTR, 5-hydroxytryptamine receptor; KCNH, potassium voltage-gated channel subfamily H; KDR, kinase insert domain receptor; KIT, KIT proto-oncogene, receptor tyrosine kinase; KRAS, kirsten rat sarcoma; MAOB, monoamine oxidase B; MAP2K1, mitogen-activated protein kinase kinase; MTNR, melatonin receptor; NR3C, nuclear receptor subfamily 3 group C; PDE, phosphodiesterase; PLK, polo like kinase; PPARG, peroxisome proliferator activated receptor gamma; TOP2A, DNA topoisomerase II alpha.</w:t>
      </w:r>
    </w:p>
    <w:sectPr w:rsidR="003C5349" w:rsidRPr="00DC1B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B36"/>
    <w:rsid w:val="003C5349"/>
    <w:rsid w:val="00DC1B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F37C3B9"/>
  <w15:chartTrackingRefBased/>
  <w15:docId w15:val="{C3261695-099A-7642-9C7A-79F544FF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1B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C1B36"/>
    <w:rPr>
      <w:rFonts w:eastAsiaTheme="minorEastAs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3597</Words>
  <Characters>20507</Characters>
  <Application>Microsoft Office Word</Application>
  <DocSecurity>0</DocSecurity>
  <Lines>170</Lines>
  <Paragraphs>48</Paragraphs>
  <ScaleCrop>false</ScaleCrop>
  <Company/>
  <LinksUpToDate>false</LinksUpToDate>
  <CharactersWithSpaces>24056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 Mandegar</dc:creator>
  <cp:keywords/>
  <dc:description/>
  <cp:lastModifiedBy>Mo Mandegar</cp:lastModifiedBy>
  <cp:revision>1</cp:revision>
  <dcterms:created xsi:type="dcterms:W3CDTF">2021-06-22T04:40:00Z</dcterms:created>
  <dcterms:modified xsi:type="dcterms:W3CDTF">2021-06-22T04:40:00Z</dcterms:modified>
</cp:coreProperties>
</file>