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A8DDB" w14:textId="77777777" w:rsidR="00DC1B36" w:rsidRPr="00333EA1" w:rsidRDefault="00DC1B36" w:rsidP="00DC1B36">
      <w:pPr>
        <w:spacing w:line="480" w:lineRule="auto"/>
        <w:rPr>
          <w:rFonts w:ascii="Arial" w:hAnsi="Arial" w:cs="Arial"/>
          <w:b/>
          <w:bCs/>
          <w:color w:val="000000" w:themeColor="text1"/>
        </w:rPr>
      </w:pPr>
      <w:r w:rsidRPr="00333EA1">
        <w:rPr>
          <w:rFonts w:ascii="Arial" w:hAnsi="Arial" w:cs="Arial"/>
          <w:b/>
          <w:bCs/>
          <w:color w:val="000000" w:themeColor="text1"/>
        </w:rPr>
        <w:t xml:space="preserve">Supplementary </w:t>
      </w:r>
      <w:r>
        <w:rPr>
          <w:rFonts w:ascii="Arial" w:hAnsi="Arial" w:cs="Arial"/>
          <w:b/>
          <w:bCs/>
          <w:color w:val="000000" w:themeColor="text1"/>
        </w:rPr>
        <w:t>File</w:t>
      </w:r>
      <w:r w:rsidRPr="00333EA1">
        <w:rPr>
          <w:rFonts w:ascii="Arial" w:hAnsi="Arial" w:cs="Arial"/>
          <w:b/>
          <w:bCs/>
          <w:color w:val="000000" w:themeColor="text1"/>
        </w:rPr>
        <w:t xml:space="preserve"> 3. </w:t>
      </w:r>
      <w:r w:rsidRPr="00333EA1">
        <w:rPr>
          <w:rFonts w:ascii="Arial" w:hAnsi="Arial" w:cs="Arial"/>
          <w:color w:val="000000" w:themeColor="text1"/>
        </w:rPr>
        <w:t>List of Compounds with Potential Structural Cardiotoxicity and Associated Information</w:t>
      </w:r>
    </w:p>
    <w:tbl>
      <w:tblPr>
        <w:tblStyle w:val="TableGrid"/>
        <w:tblW w:w="0" w:type="auto"/>
        <w:tblLayout w:type="fixed"/>
        <w:tblLook w:val="04A0" w:firstRow="1" w:lastRow="0" w:firstColumn="1" w:lastColumn="0" w:noHBand="0" w:noVBand="1"/>
      </w:tblPr>
      <w:tblGrid>
        <w:gridCol w:w="1705"/>
        <w:gridCol w:w="1620"/>
        <w:gridCol w:w="2434"/>
        <w:gridCol w:w="1346"/>
        <w:gridCol w:w="2245"/>
      </w:tblGrid>
      <w:tr w:rsidR="00DC1B36" w:rsidRPr="00333EA1" w14:paraId="7BC24AAB" w14:textId="77777777" w:rsidTr="00591460">
        <w:trPr>
          <w:trHeight w:val="602"/>
        </w:trPr>
        <w:tc>
          <w:tcPr>
            <w:tcW w:w="1705" w:type="dxa"/>
            <w:shd w:val="clear" w:color="auto" w:fill="E7E6E6" w:themeFill="background2"/>
            <w:vAlign w:val="center"/>
          </w:tcPr>
          <w:p w14:paraId="3780C69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b/>
                <w:bCs/>
                <w:color w:val="000000" w:themeColor="text1"/>
                <w:kern w:val="24"/>
                <w:sz w:val="20"/>
                <w:szCs w:val="20"/>
              </w:rPr>
              <w:t>Compound /Drug</w:t>
            </w:r>
          </w:p>
        </w:tc>
        <w:tc>
          <w:tcPr>
            <w:tcW w:w="1620" w:type="dxa"/>
            <w:shd w:val="clear" w:color="auto" w:fill="E7E6E6" w:themeFill="background2"/>
            <w:vAlign w:val="center"/>
          </w:tcPr>
          <w:p w14:paraId="624EE232" w14:textId="77777777" w:rsidR="00DC1B36" w:rsidRPr="00333EA1" w:rsidRDefault="00DC1B36" w:rsidP="00591460">
            <w:pPr>
              <w:spacing w:line="480" w:lineRule="auto"/>
              <w:rPr>
                <w:rFonts w:ascii="Arial" w:hAnsi="Arial" w:cs="Arial"/>
                <w:b/>
                <w:bCs/>
                <w:color w:val="000000" w:themeColor="text1"/>
                <w:kern w:val="24"/>
                <w:sz w:val="20"/>
                <w:szCs w:val="20"/>
              </w:rPr>
            </w:pPr>
            <w:r w:rsidRPr="00333EA1">
              <w:rPr>
                <w:rFonts w:ascii="Arial" w:hAnsi="Arial" w:cs="Arial"/>
                <w:b/>
                <w:bCs/>
                <w:color w:val="000000" w:themeColor="text1"/>
                <w:kern w:val="24"/>
                <w:sz w:val="20"/>
                <w:szCs w:val="20"/>
              </w:rPr>
              <w:t>Status</w:t>
            </w:r>
          </w:p>
        </w:tc>
        <w:tc>
          <w:tcPr>
            <w:tcW w:w="2434" w:type="dxa"/>
            <w:shd w:val="clear" w:color="auto" w:fill="E7E6E6" w:themeFill="background2"/>
            <w:vAlign w:val="center"/>
          </w:tcPr>
          <w:p w14:paraId="07488E7B" w14:textId="77777777" w:rsidR="00DC1B36" w:rsidRPr="00333EA1" w:rsidRDefault="00DC1B36" w:rsidP="00591460">
            <w:pPr>
              <w:spacing w:line="480" w:lineRule="auto"/>
              <w:rPr>
                <w:rFonts w:ascii="Arial" w:hAnsi="Arial" w:cs="Arial"/>
                <w:b/>
                <w:bCs/>
                <w:color w:val="000000" w:themeColor="text1"/>
                <w:kern w:val="24"/>
                <w:sz w:val="20"/>
                <w:szCs w:val="20"/>
              </w:rPr>
            </w:pPr>
            <w:r w:rsidRPr="00333EA1">
              <w:rPr>
                <w:rFonts w:ascii="Arial" w:hAnsi="Arial" w:cs="Arial"/>
                <w:b/>
                <w:bCs/>
                <w:color w:val="000000" w:themeColor="text1"/>
                <w:kern w:val="24"/>
                <w:sz w:val="20"/>
                <w:szCs w:val="20"/>
              </w:rPr>
              <w:t>Indication/Pharmacological Classification</w:t>
            </w:r>
          </w:p>
        </w:tc>
        <w:tc>
          <w:tcPr>
            <w:tcW w:w="1346" w:type="dxa"/>
            <w:shd w:val="clear" w:color="auto" w:fill="E7E6E6" w:themeFill="background2"/>
            <w:vAlign w:val="center"/>
          </w:tcPr>
          <w:p w14:paraId="058EB0E5" w14:textId="77777777" w:rsidR="00DC1B36" w:rsidRPr="00333EA1" w:rsidRDefault="00DC1B36" w:rsidP="00591460">
            <w:pPr>
              <w:spacing w:line="480" w:lineRule="auto"/>
              <w:rPr>
                <w:rFonts w:ascii="Arial" w:hAnsi="Arial" w:cs="Arial"/>
                <w:b/>
                <w:bCs/>
                <w:color w:val="000000" w:themeColor="text1"/>
                <w:kern w:val="24"/>
                <w:sz w:val="20"/>
                <w:szCs w:val="20"/>
              </w:rPr>
            </w:pPr>
            <w:r w:rsidRPr="00333EA1">
              <w:rPr>
                <w:rFonts w:ascii="Arial" w:hAnsi="Arial" w:cs="Arial"/>
                <w:b/>
                <w:bCs/>
                <w:color w:val="000000" w:themeColor="text1"/>
                <w:kern w:val="24"/>
                <w:sz w:val="20"/>
                <w:szCs w:val="20"/>
              </w:rPr>
              <w:t>Primary Target</w:t>
            </w:r>
          </w:p>
        </w:tc>
        <w:tc>
          <w:tcPr>
            <w:tcW w:w="2245" w:type="dxa"/>
            <w:shd w:val="clear" w:color="auto" w:fill="E7E6E6" w:themeFill="background2"/>
            <w:vAlign w:val="center"/>
          </w:tcPr>
          <w:p w14:paraId="4E24FB1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b/>
                <w:bCs/>
                <w:color w:val="000000" w:themeColor="text1"/>
                <w:kern w:val="24"/>
                <w:sz w:val="20"/>
                <w:szCs w:val="20"/>
              </w:rPr>
              <w:t>Reported Adverse Cardiovascular Events</w:t>
            </w:r>
          </w:p>
        </w:tc>
      </w:tr>
      <w:tr w:rsidR="00DC1B36" w:rsidRPr="00333EA1" w14:paraId="20E0D310" w14:textId="77777777" w:rsidTr="00591460">
        <w:tc>
          <w:tcPr>
            <w:tcW w:w="1705" w:type="dxa"/>
            <w:vAlign w:val="center"/>
          </w:tcPr>
          <w:p w14:paraId="67B778B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WZ8040</w:t>
            </w:r>
          </w:p>
        </w:tc>
        <w:tc>
          <w:tcPr>
            <w:tcW w:w="1620" w:type="dxa"/>
            <w:vAlign w:val="center"/>
          </w:tcPr>
          <w:p w14:paraId="049F8C75"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Tool compound</w:t>
            </w:r>
          </w:p>
        </w:tc>
        <w:tc>
          <w:tcPr>
            <w:tcW w:w="2434" w:type="dxa"/>
            <w:vAlign w:val="center"/>
          </w:tcPr>
          <w:p w14:paraId="77DC14E8"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Oncology/EGFR inhibitor</w:t>
            </w:r>
          </w:p>
        </w:tc>
        <w:tc>
          <w:tcPr>
            <w:tcW w:w="1346" w:type="dxa"/>
            <w:vAlign w:val="center"/>
          </w:tcPr>
          <w:p w14:paraId="511AEF28"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EGFR</w:t>
            </w:r>
          </w:p>
        </w:tc>
        <w:tc>
          <w:tcPr>
            <w:tcW w:w="2245" w:type="dxa"/>
            <w:vAlign w:val="center"/>
          </w:tcPr>
          <w:p w14:paraId="1155BA82"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5D565FD0" w14:textId="77777777" w:rsidTr="00591460">
        <w:tc>
          <w:tcPr>
            <w:tcW w:w="1705" w:type="dxa"/>
            <w:vAlign w:val="center"/>
          </w:tcPr>
          <w:p w14:paraId="6C0DCB6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Zileuton</w:t>
            </w:r>
          </w:p>
        </w:tc>
        <w:tc>
          <w:tcPr>
            <w:tcW w:w="1620" w:type="dxa"/>
            <w:vAlign w:val="center"/>
          </w:tcPr>
          <w:p w14:paraId="6840156A"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 Immediate-release tablets withdrawn from the US market</w:t>
            </w:r>
          </w:p>
        </w:tc>
        <w:tc>
          <w:tcPr>
            <w:tcW w:w="2434" w:type="dxa"/>
            <w:vAlign w:val="center"/>
          </w:tcPr>
          <w:p w14:paraId="7D8260F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Asthm, anti-inflammatory/5-lipoxygenase inhibitor</w:t>
            </w:r>
          </w:p>
        </w:tc>
        <w:tc>
          <w:tcPr>
            <w:tcW w:w="1346" w:type="dxa"/>
            <w:vAlign w:val="center"/>
          </w:tcPr>
          <w:p w14:paraId="0DCDEAC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ALOX5</w:t>
            </w:r>
          </w:p>
        </w:tc>
        <w:tc>
          <w:tcPr>
            <w:tcW w:w="2245" w:type="dxa"/>
            <w:vAlign w:val="center"/>
          </w:tcPr>
          <w:p w14:paraId="2FB567A8"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7261DBD6" w14:textId="77777777" w:rsidTr="00591460">
        <w:tc>
          <w:tcPr>
            <w:tcW w:w="1705" w:type="dxa"/>
            <w:vAlign w:val="center"/>
          </w:tcPr>
          <w:p w14:paraId="55A688DA"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Mosapride</w:t>
            </w:r>
          </w:p>
        </w:tc>
        <w:tc>
          <w:tcPr>
            <w:tcW w:w="1620" w:type="dxa"/>
            <w:vAlign w:val="center"/>
          </w:tcPr>
          <w:p w14:paraId="70DCE85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Investigational drug (Phase 3)</w:t>
            </w:r>
          </w:p>
        </w:tc>
        <w:tc>
          <w:tcPr>
            <w:tcW w:w="2434" w:type="dxa"/>
            <w:vAlign w:val="center"/>
          </w:tcPr>
          <w:p w14:paraId="65C92C1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Gastrointestinal disorders/5HT</w:t>
            </w:r>
            <w:r w:rsidRPr="00333EA1">
              <w:rPr>
                <w:rFonts w:ascii="Arial" w:hAnsi="Arial" w:cs="Arial"/>
                <w:color w:val="000000" w:themeColor="text1"/>
                <w:sz w:val="20"/>
                <w:szCs w:val="20"/>
                <w:vertAlign w:val="subscript"/>
              </w:rPr>
              <w:t>4</w:t>
            </w:r>
            <w:r w:rsidRPr="00333EA1">
              <w:rPr>
                <w:rFonts w:ascii="Arial" w:hAnsi="Arial" w:cs="Arial"/>
                <w:color w:val="000000" w:themeColor="text1"/>
                <w:sz w:val="20"/>
                <w:szCs w:val="20"/>
              </w:rPr>
              <w:t xml:space="preserve"> agonist</w:t>
            </w:r>
          </w:p>
        </w:tc>
        <w:tc>
          <w:tcPr>
            <w:tcW w:w="1346" w:type="dxa"/>
            <w:vAlign w:val="center"/>
          </w:tcPr>
          <w:p w14:paraId="71AD3EE7"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HTR4</w:t>
            </w:r>
          </w:p>
        </w:tc>
        <w:tc>
          <w:tcPr>
            <w:tcW w:w="2245" w:type="dxa"/>
            <w:vAlign w:val="center"/>
          </w:tcPr>
          <w:p w14:paraId="1E5307E0"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7EBD3BFB" w14:textId="77777777" w:rsidTr="00591460">
        <w:tc>
          <w:tcPr>
            <w:tcW w:w="1705" w:type="dxa"/>
            <w:vAlign w:val="center"/>
          </w:tcPr>
          <w:p w14:paraId="2F3B9B2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Roscovitine</w:t>
            </w:r>
          </w:p>
        </w:tc>
        <w:tc>
          <w:tcPr>
            <w:tcW w:w="1620" w:type="dxa"/>
            <w:vAlign w:val="center"/>
          </w:tcPr>
          <w:p w14:paraId="1CBCDFB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Investigational drug (Phase 2)</w:t>
            </w:r>
          </w:p>
        </w:tc>
        <w:tc>
          <w:tcPr>
            <w:tcW w:w="2434" w:type="dxa"/>
            <w:vAlign w:val="center"/>
          </w:tcPr>
          <w:p w14:paraId="14DE7B0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Oncology, multiple indications/CDK2, CDK7, and CDK9 inhibitor</w:t>
            </w:r>
          </w:p>
        </w:tc>
        <w:tc>
          <w:tcPr>
            <w:tcW w:w="1346" w:type="dxa"/>
            <w:vAlign w:val="center"/>
          </w:tcPr>
          <w:p w14:paraId="3623247F"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CDK2, CDK7, CKD9</w:t>
            </w:r>
          </w:p>
        </w:tc>
        <w:tc>
          <w:tcPr>
            <w:tcW w:w="2245" w:type="dxa"/>
            <w:vAlign w:val="center"/>
          </w:tcPr>
          <w:p w14:paraId="7D3BEB42"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09090331" w14:textId="77777777" w:rsidTr="00591460">
        <w:tc>
          <w:tcPr>
            <w:tcW w:w="1705" w:type="dxa"/>
            <w:vAlign w:val="center"/>
          </w:tcPr>
          <w:p w14:paraId="3CB319E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Streptozotocin</w:t>
            </w:r>
          </w:p>
        </w:tc>
        <w:tc>
          <w:tcPr>
            <w:tcW w:w="1620" w:type="dxa"/>
            <w:vAlign w:val="center"/>
          </w:tcPr>
          <w:p w14:paraId="3DF46C6F"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64F0B1C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Pancreatic and other oncology, chemotherapy/alkylating antineoplastic agent</w:t>
            </w:r>
          </w:p>
        </w:tc>
        <w:tc>
          <w:tcPr>
            <w:tcW w:w="1346" w:type="dxa"/>
            <w:vAlign w:val="center"/>
          </w:tcPr>
          <w:p w14:paraId="00E19FE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DNA</w:t>
            </w:r>
          </w:p>
        </w:tc>
        <w:tc>
          <w:tcPr>
            <w:tcW w:w="2245" w:type="dxa"/>
            <w:vAlign w:val="center"/>
          </w:tcPr>
          <w:p w14:paraId="6AC0FF24"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25724976" w14:textId="77777777" w:rsidTr="00591460">
        <w:tc>
          <w:tcPr>
            <w:tcW w:w="1705" w:type="dxa"/>
            <w:vAlign w:val="center"/>
          </w:tcPr>
          <w:p w14:paraId="39CC181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Adrucil</w:t>
            </w:r>
          </w:p>
        </w:tc>
        <w:tc>
          <w:tcPr>
            <w:tcW w:w="1620" w:type="dxa"/>
            <w:vAlign w:val="center"/>
          </w:tcPr>
          <w:p w14:paraId="65C4E10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4CFAA07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Oncology, chemotherapy/nucleoside metabolic inhibitor, DNA synthesis inhibitor</w:t>
            </w:r>
          </w:p>
        </w:tc>
        <w:tc>
          <w:tcPr>
            <w:tcW w:w="1346" w:type="dxa"/>
            <w:vAlign w:val="center"/>
          </w:tcPr>
          <w:p w14:paraId="45EBC369"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DNA</w:t>
            </w:r>
          </w:p>
        </w:tc>
        <w:tc>
          <w:tcPr>
            <w:tcW w:w="2245" w:type="dxa"/>
            <w:vAlign w:val="center"/>
          </w:tcPr>
          <w:p w14:paraId="00B4717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Side effects include cardiac toxicity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{"citationID":"72iNrGFm","properties":{"formattedCitation":"(Adrucil. RxList., 2020)","plainCitation":"(Adrucil. RxList., 2020)","noteIndex":0},"citationItems":[{"id":4405,"uris":["http://zotero.org/users/4539338/items/KMBUWNQW"],"uri":["http://zotero.org/users/4539338/items/KMBUWNQW"],"itemData":{"id":4405,"type":"webpage","title":"Accessed November 28, 2020. https://www.rxlist.com/adrucil-drug.htm","author":[{"family":"Adrucil. RxList.","given":""}],"issued":{"date-parts":[["2020"]]}}}],"schema":"https://github.com/citation-style-language/schema/raw/master/csl-citation.json"}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(Adrucil. RxList., 2020)</w:t>
            </w:r>
            <w:r w:rsidRPr="00333EA1">
              <w:rPr>
                <w:rFonts w:ascii="Arial" w:hAnsi="Arial" w:cs="Arial"/>
                <w:color w:val="000000" w:themeColor="text1"/>
                <w:sz w:val="20"/>
                <w:szCs w:val="20"/>
                <w:shd w:val="clear" w:color="auto" w:fill="E6E6E6"/>
              </w:rPr>
              <w:fldChar w:fldCharType="end"/>
            </w:r>
            <w:r w:rsidRPr="00333EA1">
              <w:rPr>
                <w:rFonts w:ascii="Arial" w:hAnsi="Arial" w:cs="Arial"/>
                <w:color w:val="000000" w:themeColor="text1"/>
                <w:sz w:val="20"/>
                <w:szCs w:val="20"/>
              </w:rPr>
              <w:t xml:space="preserve"> </w:t>
            </w:r>
          </w:p>
        </w:tc>
      </w:tr>
      <w:tr w:rsidR="00DC1B36" w:rsidRPr="00333EA1" w14:paraId="389FC18D" w14:textId="77777777" w:rsidTr="00591460">
        <w:tc>
          <w:tcPr>
            <w:tcW w:w="1705" w:type="dxa"/>
            <w:vAlign w:val="center"/>
          </w:tcPr>
          <w:p w14:paraId="2C78FC2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Betamethasone</w:t>
            </w:r>
          </w:p>
        </w:tc>
        <w:tc>
          <w:tcPr>
            <w:tcW w:w="1620" w:type="dxa"/>
            <w:vAlign w:val="center"/>
          </w:tcPr>
          <w:p w14:paraId="386F143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186662B9"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Topical steroid, immunosuppressive, </w:t>
            </w:r>
            <w:r w:rsidRPr="00333EA1">
              <w:rPr>
                <w:rFonts w:ascii="Arial" w:hAnsi="Arial" w:cs="Arial"/>
                <w:color w:val="000000" w:themeColor="text1"/>
                <w:sz w:val="20"/>
                <w:szCs w:val="20"/>
              </w:rPr>
              <w:lastRenderedPageBreak/>
              <w:t>anti-inflammatory/glucocorticoid receptor agonist</w:t>
            </w:r>
          </w:p>
        </w:tc>
        <w:tc>
          <w:tcPr>
            <w:tcW w:w="1346" w:type="dxa"/>
            <w:vAlign w:val="center"/>
          </w:tcPr>
          <w:p w14:paraId="2AE616F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lastRenderedPageBreak/>
              <w:t>NR3C1</w:t>
            </w:r>
          </w:p>
        </w:tc>
        <w:tc>
          <w:tcPr>
            <w:tcW w:w="2245" w:type="dxa"/>
            <w:vAlign w:val="center"/>
          </w:tcPr>
          <w:p w14:paraId="580AFD2E"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Oral glucocorticoid identified as risk factor </w:t>
            </w:r>
            <w:r w:rsidRPr="00333EA1">
              <w:rPr>
                <w:rFonts w:ascii="Arial" w:hAnsi="Arial" w:cs="Arial"/>
                <w:color w:val="000000" w:themeColor="text1"/>
                <w:sz w:val="20"/>
                <w:szCs w:val="20"/>
              </w:rPr>
              <w:lastRenderedPageBreak/>
              <w:t xml:space="preserve">for heart failure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{"citationID":"7v4OOVk5","properties":{"formattedCitation":"(Souverein et al., 2004)","plainCitation":"(Souverein et al., 2004)","noteIndex":0},"citationItems":[{"id":4366,"uris":["http://zotero.org/users/4539338/items/PX4YCEZL"],"uri":["http://zotero.org/users/4539338/items/PX4YCEZL"],"itemData":{"id":4366,"type":"article-journal","abstract":"Objective: To assess whether use of oral glucocorticoids is associated with cardiovascular and cerebrovascular morbidity., Design and setting: Nested case–control study within a cohort of patients (</w:instrText>
            </w:r>
            <w:r w:rsidRPr="00333EA1">
              <w:rPr>
                <w:rFonts w:ascii="Cambria Math" w:hAnsi="Cambria Math" w:cs="Cambria Math"/>
                <w:color w:val="000000" w:themeColor="text1"/>
                <w:sz w:val="20"/>
                <w:szCs w:val="20"/>
              </w:rPr>
              <w:instrText>⩾</w:instrText>
            </w:r>
            <w:r w:rsidRPr="00333EA1">
              <w:rPr>
                <w:rFonts w:ascii="Arial" w:hAnsi="Arial" w:cs="Arial"/>
                <w:color w:val="000000" w:themeColor="text1"/>
                <w:sz w:val="20"/>
                <w:szCs w:val="20"/>
              </w:rPr>
              <w:instrText xml:space="preserve"> 50 years old) with at least one prescription for oral or non-systemic glucocorticoids. Data were from the general practice research database., Patients: 50 656 patients were identified with a first record for ischaemic heart disease (International classification of diseases, ninth revision (ICD-9) codes 410, 411, 413, and 414), ischaemic stroke or transient ischaemic attack (ICD-9 codes 430–436), or heart failure (ICD-9 code 428) between 1988 and 1998. One control was matched to each case by sex, age, general practice, underlying disease, and calendar time., Main outcome measure: Odds ratio (OR) of cardiovascular or cerebrovascular events in patients using oral glucocorticoids compared with non-users., Results: There was a significant association between ever use of oral glucocorticoids and any cardiovascular or cerebrovascular outcome (adjusted OR 1.25, 95% confidence interval (CI) 1.21 to 1.29). The association was stronger for current use of oral glucocorticoids than for recent or past use. Among current users, the highest ORs were observed in the group with the highest average daily dose, although the dose–response relation was not continuous. Current use was associated with an increased risk of heart failure (adjusted OR 2.66, 95% CI 2.46 to 2.87), which was consistent between patients with rheumatoid arthritis, patients with chronic obstructive pulmonary disease, and patients without either of the two conditions. Also, current use was associated with a smaller increased risk of ischaemic heart disease (OR 1.20, 95% CI 1.11 to 1.29)., Conclusions: Oral glucocorticoid use was identified as a risk factor for heart failure. However, the evidence remains observational and only a randomised controlled trial of glucocorticoid treatment versus other disease modifying agents is likely to distinguish the importance of the underlying disease activity from its treatment in predicting cardiovascular outcomes.","container-title":"Heart","DOI":"10.1136/hrt.2003.020180","ISSN":"1355-6037","issue":"8","journalAbbreviation":"Heart","note":"PMID: 15253953\nPMCID: PMC1768386","page":"859-865","source":"PubMed Central","title":"Use of oral glucocorticoids and risk of cardiovascular and cerebrovascular disease in a population based case–control study","volume":"90","author":[{"family":"Souverein","given":"P C"},{"family":"Berard","given":"A"},{"family":"Van Staa","given":"T P"},{"family":"Cooper","given":"C"},{"family":"Egberts","given":"A C G"},{"family":"Leufkens","given":"H G M"},{"family":"Walker","given":"B R"}],"issued":{"date-parts":[["2004",8]]}}}],"schema":"https://github.com/citation-style-language/schema/raw/master/csl-citation.json"}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(Souverein et al., 2004)</w:t>
            </w:r>
            <w:r w:rsidRPr="00333EA1">
              <w:rPr>
                <w:rFonts w:ascii="Arial" w:hAnsi="Arial" w:cs="Arial"/>
                <w:color w:val="000000" w:themeColor="text1"/>
                <w:sz w:val="20"/>
                <w:szCs w:val="20"/>
                <w:shd w:val="clear" w:color="auto" w:fill="E6E6E6"/>
              </w:rPr>
              <w:fldChar w:fldCharType="end"/>
            </w:r>
          </w:p>
        </w:tc>
      </w:tr>
      <w:tr w:rsidR="00DC1B36" w:rsidRPr="00333EA1" w14:paraId="5D7CEA4A" w14:textId="77777777" w:rsidTr="00591460">
        <w:tc>
          <w:tcPr>
            <w:tcW w:w="1705" w:type="dxa"/>
            <w:vAlign w:val="center"/>
          </w:tcPr>
          <w:p w14:paraId="63D1110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lastRenderedPageBreak/>
              <w:t>Meropenem</w:t>
            </w:r>
          </w:p>
        </w:tc>
        <w:tc>
          <w:tcPr>
            <w:tcW w:w="1620" w:type="dxa"/>
            <w:vAlign w:val="center"/>
          </w:tcPr>
          <w:p w14:paraId="6686BBA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59D95FB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Broad-spectrum carbapenem antibiotic</w:t>
            </w:r>
          </w:p>
        </w:tc>
        <w:tc>
          <w:tcPr>
            <w:tcW w:w="1346" w:type="dxa"/>
            <w:vAlign w:val="center"/>
          </w:tcPr>
          <w:p w14:paraId="0339C0D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dacB</w:t>
            </w:r>
          </w:p>
          <w:p w14:paraId="59A84F1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(E. coli)</w:t>
            </w:r>
          </w:p>
        </w:tc>
        <w:tc>
          <w:tcPr>
            <w:tcW w:w="2245" w:type="dxa"/>
            <w:vAlign w:val="center"/>
          </w:tcPr>
          <w:p w14:paraId="28EE6A9E"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3CC73F27" w14:textId="77777777" w:rsidTr="00591460">
        <w:tc>
          <w:tcPr>
            <w:tcW w:w="1705" w:type="dxa"/>
            <w:vAlign w:val="center"/>
          </w:tcPr>
          <w:p w14:paraId="1C35103F"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Regorafenib</w:t>
            </w:r>
          </w:p>
        </w:tc>
        <w:tc>
          <w:tcPr>
            <w:tcW w:w="1620" w:type="dxa"/>
            <w:vAlign w:val="center"/>
          </w:tcPr>
          <w:p w14:paraId="3ABD01E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7FFFAE0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Sorafenib analog, metastatic colorectal cancer/multi-kinase inhibitor</w:t>
            </w:r>
          </w:p>
        </w:tc>
        <w:tc>
          <w:tcPr>
            <w:tcW w:w="1346" w:type="dxa"/>
            <w:vAlign w:val="center"/>
          </w:tcPr>
          <w:p w14:paraId="0EC4F11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KIT, KRAS, BRAF, KDR</w:t>
            </w:r>
          </w:p>
        </w:tc>
        <w:tc>
          <w:tcPr>
            <w:tcW w:w="2245" w:type="dxa"/>
            <w:vAlign w:val="center"/>
          </w:tcPr>
          <w:p w14:paraId="34625E45"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Risk of regorafenib-induced cardiovascular events in patients with solid tumors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{"citationID":"8MybXGjw","properties":{"formattedCitation":"(Chen and Wang, 2018)","plainCitation":"(Chen and Wang, 2018)","noteIndex":0},"citationItems":[{"id":4369,"uris":["http://zotero.org/users/4539338/items/8UGXPLH5"],"uri":["http://zotero.org/users/4539338/items/8UGXPLH5"],"itemData":{"id":4369,"type":"article-journal","abstract":"Supplemental Digital Content is available in the text","container-title":"Medicine","DOI":"10.1097/MD.0000000000012705","ISSN":"0025-7974","issue":"41","journalAbbreviation":"Medicine (Baltimore)","note":"PMID: 30313066\nPMCID: PMC6203579","source":"PubMed Central","title":"Risk of regorafenib-induced cardiovascular events in patients with solid tumors","URL":"https://www.ncbi.nlm.nih.gov/pmc/articles/PMC6203579/","volume":"97","author":[{"family":"Chen","given":"Jianxin"},{"family":"Wang","given":"Junhui"}],"accessed":{"date-parts":[["2020",10,28]]},"issued":{"date-parts":[["2018",10,12]]}}}],"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(Chen and Wang, 2018)</w:t>
            </w:r>
            <w:r w:rsidRPr="00333EA1">
              <w:rPr>
                <w:rFonts w:ascii="Arial" w:hAnsi="Arial" w:cs="Arial"/>
                <w:color w:val="000000" w:themeColor="text1"/>
                <w:sz w:val="20"/>
                <w:szCs w:val="20"/>
                <w:shd w:val="clear" w:color="auto" w:fill="E6E6E6"/>
              </w:rPr>
              <w:fldChar w:fldCharType="end"/>
            </w:r>
          </w:p>
        </w:tc>
      </w:tr>
      <w:tr w:rsidR="00DC1B36" w:rsidRPr="00333EA1" w14:paraId="2FBD13F1" w14:textId="77777777" w:rsidTr="00591460">
        <w:tc>
          <w:tcPr>
            <w:tcW w:w="1705" w:type="dxa"/>
            <w:vAlign w:val="center"/>
          </w:tcPr>
          <w:p w14:paraId="42CE9CF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Lamivudine</w:t>
            </w:r>
          </w:p>
        </w:tc>
        <w:tc>
          <w:tcPr>
            <w:tcW w:w="1620" w:type="dxa"/>
            <w:vAlign w:val="center"/>
          </w:tcPr>
          <w:p w14:paraId="0B67F1B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2DAFDDD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Antiviral drug/HIV-1, HBV/reverse transcriptase inhibitor</w:t>
            </w:r>
          </w:p>
        </w:tc>
        <w:tc>
          <w:tcPr>
            <w:tcW w:w="1346" w:type="dxa"/>
            <w:vAlign w:val="center"/>
          </w:tcPr>
          <w:p w14:paraId="4EDEEA2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DNA</w:t>
            </w:r>
          </w:p>
        </w:tc>
        <w:tc>
          <w:tcPr>
            <w:tcW w:w="2245" w:type="dxa"/>
            <w:vAlign w:val="center"/>
          </w:tcPr>
          <w:p w14:paraId="58C8F071"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5C7DF829" w14:textId="77777777" w:rsidTr="00591460">
        <w:tc>
          <w:tcPr>
            <w:tcW w:w="1705" w:type="dxa"/>
            <w:vAlign w:val="center"/>
          </w:tcPr>
          <w:p w14:paraId="03B2C5D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Chlorpromazine</w:t>
            </w:r>
          </w:p>
        </w:tc>
        <w:tc>
          <w:tcPr>
            <w:tcW w:w="1620" w:type="dxa"/>
            <w:vAlign w:val="center"/>
          </w:tcPr>
          <w:p w14:paraId="7C5B9E6A"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61D9514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Antipsychotic medication, schizophrenia/</w:t>
            </w:r>
            <w:proofErr w:type="gramStart"/>
            <w:r w:rsidRPr="00333EA1">
              <w:rPr>
                <w:rFonts w:ascii="Arial" w:hAnsi="Arial" w:cs="Arial"/>
                <w:color w:val="000000" w:themeColor="text1"/>
                <w:sz w:val="20"/>
                <w:szCs w:val="20"/>
              </w:rPr>
              <w:t>dopamine</w:t>
            </w:r>
            <w:proofErr w:type="gramEnd"/>
            <w:r w:rsidRPr="00333EA1">
              <w:rPr>
                <w:rFonts w:ascii="Arial" w:hAnsi="Arial" w:cs="Arial"/>
                <w:color w:val="000000" w:themeColor="text1"/>
                <w:sz w:val="20"/>
                <w:szCs w:val="20"/>
              </w:rPr>
              <w:t xml:space="preserve"> and potassium channel inhibitor</w:t>
            </w:r>
          </w:p>
        </w:tc>
        <w:tc>
          <w:tcPr>
            <w:tcW w:w="1346" w:type="dxa"/>
            <w:vAlign w:val="center"/>
          </w:tcPr>
          <w:p w14:paraId="690EF11E"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DRD1, DRD2, KCNH2</w:t>
            </w:r>
          </w:p>
        </w:tc>
        <w:tc>
          <w:tcPr>
            <w:tcW w:w="2245" w:type="dxa"/>
            <w:vAlign w:val="center"/>
          </w:tcPr>
          <w:p w14:paraId="7D45092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Fast/Irregular heart rate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{"citationID":"UeVA7okg","properties":{"formattedCitation":"(Chlorpromazine HCL. WebMD., 2020)","plainCitation":"(Chlorpromazine HCL. WebMD., 2020)","noteIndex":0},"citationItems":[{"id":4404,"uris":["http://zotero.org/users/4539338/items/WDTCZCFT"],"uri":["http://zotero.org/users/4539338/items/WDTCZCFT"],"itemData":{"id":4404,"type":"webpage","title":"Accessed November 28, 2020. https://www.webmd.com/drugs/2/drug-1444/chlorpromazine-oral/details","author":[{"family":"Chlorpromazine HCL. WebMD.","given":""}],"issued":{"date-parts":[["2020"]]}}}],"schema":"https://github.com/citation-style-language/schema/raw/master/csl-citation.json"}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(Chlorpromazine HCL. WebMD., 2020)</w:t>
            </w:r>
            <w:r w:rsidRPr="00333EA1">
              <w:rPr>
                <w:rFonts w:ascii="Arial" w:hAnsi="Arial" w:cs="Arial"/>
                <w:color w:val="000000" w:themeColor="text1"/>
                <w:sz w:val="20"/>
                <w:szCs w:val="20"/>
                <w:shd w:val="clear" w:color="auto" w:fill="E6E6E6"/>
              </w:rPr>
              <w:fldChar w:fldCharType="end"/>
            </w:r>
          </w:p>
        </w:tc>
      </w:tr>
      <w:tr w:rsidR="00DC1B36" w:rsidRPr="00333EA1" w14:paraId="6D9F8655" w14:textId="77777777" w:rsidTr="00591460">
        <w:tc>
          <w:tcPr>
            <w:tcW w:w="1705" w:type="dxa"/>
            <w:vAlign w:val="center"/>
          </w:tcPr>
          <w:p w14:paraId="67A61DA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Imidapril</w:t>
            </w:r>
          </w:p>
        </w:tc>
        <w:tc>
          <w:tcPr>
            <w:tcW w:w="1620" w:type="dxa"/>
            <w:vAlign w:val="center"/>
          </w:tcPr>
          <w:p w14:paraId="6ACB701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1997406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Antihypertensive drug, ACE inhibitor</w:t>
            </w:r>
          </w:p>
        </w:tc>
        <w:tc>
          <w:tcPr>
            <w:tcW w:w="1346" w:type="dxa"/>
            <w:vAlign w:val="center"/>
          </w:tcPr>
          <w:p w14:paraId="5A8F600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ACE</w:t>
            </w:r>
          </w:p>
        </w:tc>
        <w:tc>
          <w:tcPr>
            <w:tcW w:w="2245" w:type="dxa"/>
            <w:vAlign w:val="center"/>
          </w:tcPr>
          <w:p w14:paraId="4962C800"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28B9FE1F" w14:textId="77777777" w:rsidTr="00591460">
        <w:tc>
          <w:tcPr>
            <w:tcW w:w="1705" w:type="dxa"/>
            <w:vAlign w:val="center"/>
          </w:tcPr>
          <w:p w14:paraId="1BF15F05"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Rasagiline</w:t>
            </w:r>
          </w:p>
        </w:tc>
        <w:tc>
          <w:tcPr>
            <w:tcW w:w="1620" w:type="dxa"/>
            <w:vAlign w:val="center"/>
          </w:tcPr>
          <w:p w14:paraId="15D70B4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75D848B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Antidepressant, Parkinson’s disease/monoamine oxidase inhibitor</w:t>
            </w:r>
          </w:p>
        </w:tc>
        <w:tc>
          <w:tcPr>
            <w:tcW w:w="1346" w:type="dxa"/>
            <w:vAlign w:val="center"/>
          </w:tcPr>
          <w:p w14:paraId="056A1E2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MAOB</w:t>
            </w:r>
          </w:p>
        </w:tc>
        <w:tc>
          <w:tcPr>
            <w:tcW w:w="2245" w:type="dxa"/>
            <w:vAlign w:val="center"/>
          </w:tcPr>
          <w:p w14:paraId="53135BEA"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20C983AD" w14:textId="77777777" w:rsidTr="00591460">
        <w:tc>
          <w:tcPr>
            <w:tcW w:w="1705" w:type="dxa"/>
            <w:vAlign w:val="center"/>
          </w:tcPr>
          <w:p w14:paraId="0256A42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lastRenderedPageBreak/>
              <w:t xml:space="preserve">Anagrelide </w:t>
            </w:r>
          </w:p>
        </w:tc>
        <w:tc>
          <w:tcPr>
            <w:tcW w:w="1620" w:type="dxa"/>
            <w:vAlign w:val="center"/>
          </w:tcPr>
          <w:p w14:paraId="50E38105"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42D9806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Blood thinner, Platelet-reducing agent/PDE3 inhibitor</w:t>
            </w:r>
          </w:p>
        </w:tc>
        <w:tc>
          <w:tcPr>
            <w:tcW w:w="1346" w:type="dxa"/>
            <w:vAlign w:val="center"/>
          </w:tcPr>
          <w:p w14:paraId="2D1FA2E5"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PDE3</w:t>
            </w:r>
          </w:p>
        </w:tc>
        <w:tc>
          <w:tcPr>
            <w:tcW w:w="2245" w:type="dxa"/>
            <w:vAlign w:val="center"/>
          </w:tcPr>
          <w:p w14:paraId="31B8FCD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Side effects may include fast, irregular, pounding, or racing heartbeat or pulse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{"citationID":"RDzcxy5H","properties":{"formattedCitation":"(Anagrelide. Mayo Clinic., 2020)","plainCitation":"(Anagrelide. Mayo Clinic., 2020)","noteIndex":0},"citationItems":[{"id":4408,"uris":["http://zotero.org/users/4539338/items/FFIQJ9SP"],"uri":["http://zotero.org/users/4539338/items/FFIQJ9SP"],"itemData":{"id":4408,"type":"webpage","title":"Accessed November 28, 2020. https://www.mayoclinic.org/drugs-supplements/anagrelide-oral-route/side-effects/drg-20061875","author":[{"family":"Anagrelide. Mayo Clinic.","given":""}],"issued":{"date-parts":[["2020"]]}}}],"schema":"https://github.com/citation-style-language/schema/raw/master/csl-citation.json"}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(Anagrelide. Mayo Clinic., 2020)</w:t>
            </w:r>
            <w:r w:rsidRPr="00333EA1">
              <w:rPr>
                <w:rFonts w:ascii="Arial" w:hAnsi="Arial" w:cs="Arial"/>
                <w:color w:val="000000" w:themeColor="text1"/>
                <w:sz w:val="20"/>
                <w:szCs w:val="20"/>
                <w:shd w:val="clear" w:color="auto" w:fill="E6E6E6"/>
              </w:rPr>
              <w:fldChar w:fldCharType="end"/>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{"citationID":"Ac4DjcZe","properties":{"formattedCitation":"(Anagrelide. Mayo Clinic., 2020)","plainCitation":"(Anagrelide. Mayo Clinic., 2020)","dontUpdate":true,"noteIndex":0},"citationItems":[{"id":4408,"uris":["http://zotero.org/users/4539338/items/FFIQJ9SP"],"uri":["http://zotero.org/users/4539338/items/FFIQJ9SP"],"itemData":{"id":4408,"type":"webpage","title":"Accessed November 28, 2020. https://www.mayoclinic.org/drugs-supplements/anagrelide-oral-route/side-effects/drg-20061875","author":[{"family":"Anagrelide. Mayo Clinic.","given":""}],"issued":{"date-parts":[["2020"]]}}}],"schema":"https://github.com/citation-style-language/schema/raw/master/csl-citation.json"} </w:instrText>
            </w:r>
            <w:r w:rsidRPr="00333EA1">
              <w:rPr>
                <w:rFonts w:ascii="Arial" w:hAnsi="Arial" w:cs="Arial"/>
                <w:color w:val="000000" w:themeColor="text1"/>
                <w:sz w:val="20"/>
                <w:szCs w:val="20"/>
                <w:shd w:val="clear" w:color="auto" w:fill="E6E6E6"/>
              </w:rPr>
              <w:fldChar w:fldCharType="end"/>
            </w:r>
          </w:p>
        </w:tc>
      </w:tr>
      <w:tr w:rsidR="00DC1B36" w:rsidRPr="00333EA1" w14:paraId="28AB1083" w14:textId="77777777" w:rsidTr="00591460">
        <w:tc>
          <w:tcPr>
            <w:tcW w:w="1705" w:type="dxa"/>
            <w:vAlign w:val="center"/>
          </w:tcPr>
          <w:p w14:paraId="6DCD521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CI-1040</w:t>
            </w:r>
          </w:p>
        </w:tc>
        <w:tc>
          <w:tcPr>
            <w:tcW w:w="1620" w:type="dxa"/>
            <w:vAlign w:val="center"/>
          </w:tcPr>
          <w:p w14:paraId="78D26EA7"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Investigational drug (Phase 2)</w:t>
            </w:r>
          </w:p>
        </w:tc>
        <w:tc>
          <w:tcPr>
            <w:tcW w:w="2434" w:type="dxa"/>
            <w:vAlign w:val="center"/>
          </w:tcPr>
          <w:p w14:paraId="3BEBEF1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Oncology, lung, breast, pancreatic, colorectal/MEK1, 2 </w:t>
            </w:r>
            <w:proofErr w:type="gramStart"/>
            <w:r w:rsidRPr="00333EA1">
              <w:rPr>
                <w:rFonts w:ascii="Arial" w:hAnsi="Arial" w:cs="Arial"/>
                <w:color w:val="000000" w:themeColor="text1"/>
                <w:sz w:val="20"/>
                <w:szCs w:val="20"/>
              </w:rPr>
              <w:t>inhibitor</w:t>
            </w:r>
            <w:proofErr w:type="gramEnd"/>
          </w:p>
        </w:tc>
        <w:tc>
          <w:tcPr>
            <w:tcW w:w="1346" w:type="dxa"/>
            <w:vAlign w:val="center"/>
          </w:tcPr>
          <w:p w14:paraId="653FE08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MAP2K1</w:t>
            </w:r>
          </w:p>
          <w:p w14:paraId="5E967EF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(MEK1),</w:t>
            </w:r>
          </w:p>
          <w:p w14:paraId="4E912889"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MAP2K2</w:t>
            </w:r>
          </w:p>
          <w:p w14:paraId="31CCFE1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(MEK2)</w:t>
            </w:r>
          </w:p>
        </w:tc>
        <w:tc>
          <w:tcPr>
            <w:tcW w:w="2245" w:type="dxa"/>
            <w:vAlign w:val="center"/>
          </w:tcPr>
          <w:p w14:paraId="203B940A"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2998C862" w14:textId="77777777" w:rsidTr="00591460">
        <w:tc>
          <w:tcPr>
            <w:tcW w:w="1705" w:type="dxa"/>
            <w:vAlign w:val="center"/>
          </w:tcPr>
          <w:p w14:paraId="45A5330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Dimesna</w:t>
            </w:r>
          </w:p>
        </w:tc>
        <w:tc>
          <w:tcPr>
            <w:tcW w:w="1620" w:type="dxa"/>
            <w:vAlign w:val="center"/>
          </w:tcPr>
          <w:p w14:paraId="6DA276CA"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Investigational drug (Phase 3)</w:t>
            </w:r>
          </w:p>
        </w:tc>
        <w:tc>
          <w:tcPr>
            <w:tcW w:w="2434" w:type="dxa"/>
            <w:vAlign w:val="center"/>
          </w:tcPr>
          <w:p w14:paraId="0CB423E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Uroprotective agent used to decrease urotoxicity. Used as a chemoprotector in cisplatin-based chemotherapy</w:t>
            </w:r>
          </w:p>
        </w:tc>
        <w:tc>
          <w:tcPr>
            <w:tcW w:w="1346" w:type="dxa"/>
            <w:vAlign w:val="center"/>
          </w:tcPr>
          <w:p w14:paraId="75D182B8" w14:textId="77777777" w:rsidR="00DC1B36" w:rsidRPr="00333EA1" w:rsidRDefault="00DC1B36" w:rsidP="00591460">
            <w:pPr>
              <w:spacing w:line="480" w:lineRule="auto"/>
              <w:rPr>
                <w:rFonts w:ascii="Arial" w:hAnsi="Arial" w:cs="Arial"/>
                <w:color w:val="000000" w:themeColor="text1"/>
                <w:sz w:val="20"/>
                <w:szCs w:val="20"/>
              </w:rPr>
            </w:pPr>
          </w:p>
        </w:tc>
        <w:tc>
          <w:tcPr>
            <w:tcW w:w="2245" w:type="dxa"/>
            <w:vAlign w:val="center"/>
          </w:tcPr>
          <w:p w14:paraId="0190C316"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{"citationID":"dR6bsvdu","properties":{"formattedCitation":"(Parker et al., 2010)","plainCitation":"(Parker et al., 2010)","noteIndex":0},"citationItems":[{"id":4372,"uris":["http://zotero.org/users/4539338/items/EA4CLZFC"],"uri":["http://zotero.org/users/4539338/items/EA4CLZFC"],"itemData":{"id":4372,"type":"article-journal","abstract":"Taxane and platinum drugs are important agents in the treatment of cancer and have shown activity against a variety of tumors, including ovarian, breast, and lung cancer, either as single agents or in combination with other chemotherapy drugs. However, a serious and prevalent side effect of taxane (docetaxel and all formulations/derivatives of paclitaxel) and platinum (cisplatin, carboplatin, and oxaliplatin) agents is dose-limiting chemotherapy-induced peripheral neuropathy (CIPN). CIPN can result in treatment delays, dose modifications, and, in severe cases, discontinuation of chemotherapy. Consequently, effective treatments for CIPN are needed. Dimesna (BNP7787; Tavocept TM; disodium 2,2′-dithio-bis-ethanesulfonate) is an investigational drug that is undergoing international clinical development as a treatment that is coadministered with first-line taxane and platinum combination chemotherapy in patients with inoperable advanced primary adenocarcinoma of the lung. BNP7787 is currently being developed with the objective of increasing the survival of cancer patients receiving taxane- and/or cisplatin-based chemotherapy. Additional data indicate that BNP7787 may also protect against common and serious chemotherapy-induced toxicities, including chemotherapy-induced anemia, nausea, emesis, nephrotoxicity, and neuropathy, without interfering with antitumor activity of the chemotherapeutic agent(s). Studies herein show that BNP7787 prevents aberrant microtubule protein (MTP) polymerization that is caused by exposure of MTP to paclitaxel or cisplatin. BNP7787 modulates paclitaxel-induced hyperpolymerization of MTP in a dose-dependent manner, and mesna, an in vivo metabolite of BNP7787, protects against time-dependent cisplatin-induced inactivation of MTP. We propose that interactions between BNP7787 and MTP may play a role in BNP7787-mediated protection against CIPN. Mol Cancer Ther; 9(9); 2558–67. ©2010 AACR.","container-title":"Molecular Cancer Therapeutics","DOI":"10.1158/1535-7163.MCT-10-0300","ISSN":"1535-7163, 1538-8514","issue":"9","journalAbbreviation":"Mol Cancer Ther","language":"en","note":"publisher: American Association for Cancer Research\nsection: Preclinical Development\nPMID: 20807779","page":"2558-2567","source":"mct.aacrjournals.org","title":"BNP7787-Mediated Modulation of Paclitaxel- and Cisplatin-Induced Aberrant Microtubule Protein Polymerization In vitro","volume":"9","author":[{"family":"Parker","given":"Aulma R."},{"family":"Petluru","given":"Pavankumar N."},{"family":"Wu","given":"Meizhen"},{"family":"Zhao","given":"Min"},{"family":"Kochat","given":"Harry"},{"family":"Hausheer","given":"Frederick H."}],"issued":{"date-parts":[["2010",9,1]]}}}],"schema":"https://github.com/citation-style-language/schema/raw/master/csl-citation.json"}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(Parker et al., 2010)</w:t>
            </w:r>
            <w:r w:rsidRPr="00333EA1">
              <w:rPr>
                <w:rFonts w:ascii="Arial" w:hAnsi="Arial" w:cs="Arial"/>
                <w:color w:val="000000" w:themeColor="text1"/>
                <w:sz w:val="20"/>
                <w:szCs w:val="20"/>
                <w:shd w:val="clear" w:color="auto" w:fill="E6E6E6"/>
              </w:rPr>
              <w:fldChar w:fldCharType="end"/>
            </w:r>
          </w:p>
        </w:tc>
      </w:tr>
      <w:tr w:rsidR="00DC1B36" w:rsidRPr="00333EA1" w14:paraId="2EC75988" w14:textId="77777777" w:rsidTr="00591460">
        <w:tc>
          <w:tcPr>
            <w:tcW w:w="1705" w:type="dxa"/>
            <w:vAlign w:val="center"/>
          </w:tcPr>
          <w:p w14:paraId="654C239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Sotalol</w:t>
            </w:r>
          </w:p>
        </w:tc>
        <w:tc>
          <w:tcPr>
            <w:tcW w:w="1620" w:type="dxa"/>
            <w:vAlign w:val="center"/>
          </w:tcPr>
          <w:p w14:paraId="34FDD127"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084D820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Anti-arrhythmic drug,</w:t>
            </w:r>
          </w:p>
          <w:p w14:paraId="2081737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beta-blocker</w:t>
            </w:r>
          </w:p>
        </w:tc>
        <w:tc>
          <w:tcPr>
            <w:tcW w:w="1346" w:type="dxa"/>
            <w:vAlign w:val="center"/>
          </w:tcPr>
          <w:p w14:paraId="2136CBC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ADRB1, ADRB2, KCNH2</w:t>
            </w:r>
          </w:p>
        </w:tc>
        <w:tc>
          <w:tcPr>
            <w:tcW w:w="2245" w:type="dxa"/>
            <w:vAlign w:val="center"/>
          </w:tcPr>
          <w:p w14:paraId="4E33A82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Serious side effects may include QT prolongation, heart failure, or bronchospasm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{"citationID":"Xs7Dkfob","properties":{"formattedCitation":"(Sotalol. FDA.gov., 2020)","plainCitation":"(Sotalol. FDA.gov., 2020)","noteIndex":0},"citationItems":[{"id":4411,"uris":["http://zotero.org/users/4539338/items/NNA7JW8T"],"uri":["http://zotero.org/users/4539338/items/NNA7JW8T"],"itemData":{"id":4411,"type":"webpage","title":"Accessed November 28, 2020. https://www.accessdata.fda.gov/drugsatfda_docs/label/2009/022306s000lbl.pdf","author":[{"family":"Sotalol. FDA.gov.","given":""}],"issued":{"date-parts":[["2020"]]}}}],"schema":"https://github.com/citation-style-language/schema/raw/master/csl-citation.json"}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color w:val="000000" w:themeColor="text1"/>
                <w:sz w:val="20"/>
                <w:szCs w:val="20"/>
              </w:rPr>
              <w:t>(Sotalol. FDA.gov., 2020)</w:t>
            </w:r>
            <w:r w:rsidRPr="00333EA1">
              <w:rPr>
                <w:rFonts w:ascii="Arial" w:hAnsi="Arial" w:cs="Arial"/>
                <w:color w:val="000000" w:themeColor="text1"/>
                <w:sz w:val="20"/>
                <w:szCs w:val="20"/>
                <w:shd w:val="clear" w:color="auto" w:fill="E6E6E6"/>
              </w:rPr>
              <w:fldChar w:fldCharType="end"/>
            </w:r>
          </w:p>
        </w:tc>
      </w:tr>
      <w:tr w:rsidR="00DC1B36" w:rsidRPr="00333EA1" w14:paraId="06F8DB49" w14:textId="77777777" w:rsidTr="00591460">
        <w:tc>
          <w:tcPr>
            <w:tcW w:w="1705" w:type="dxa"/>
            <w:vAlign w:val="center"/>
          </w:tcPr>
          <w:p w14:paraId="30C27D1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Melatonin</w:t>
            </w:r>
          </w:p>
        </w:tc>
        <w:tc>
          <w:tcPr>
            <w:tcW w:w="1620" w:type="dxa"/>
            <w:vAlign w:val="center"/>
          </w:tcPr>
          <w:p w14:paraId="3044B3A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56AD6D5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Insomnia, melatonin is a melatonin receptor agonist, used as a dietary supplement</w:t>
            </w:r>
          </w:p>
        </w:tc>
        <w:tc>
          <w:tcPr>
            <w:tcW w:w="1346" w:type="dxa"/>
            <w:vAlign w:val="center"/>
          </w:tcPr>
          <w:p w14:paraId="564810E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MTNR1A, MTNR1B</w:t>
            </w:r>
          </w:p>
        </w:tc>
        <w:tc>
          <w:tcPr>
            <w:tcW w:w="2245" w:type="dxa"/>
            <w:vAlign w:val="center"/>
          </w:tcPr>
          <w:p w14:paraId="25BE0CAC"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5B87183C" w14:textId="77777777" w:rsidTr="00591460">
        <w:tc>
          <w:tcPr>
            <w:tcW w:w="1705" w:type="dxa"/>
            <w:vAlign w:val="center"/>
          </w:tcPr>
          <w:p w14:paraId="140126D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lastRenderedPageBreak/>
              <w:t>Solifenacin</w:t>
            </w:r>
          </w:p>
        </w:tc>
        <w:tc>
          <w:tcPr>
            <w:tcW w:w="1620" w:type="dxa"/>
            <w:vAlign w:val="center"/>
          </w:tcPr>
          <w:p w14:paraId="0B3C874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2C1DD7CE"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Overactive bladder with urinary incontinence/muscarinic receptor antagonist</w:t>
            </w:r>
          </w:p>
        </w:tc>
        <w:tc>
          <w:tcPr>
            <w:tcW w:w="1346" w:type="dxa"/>
            <w:vAlign w:val="center"/>
          </w:tcPr>
          <w:p w14:paraId="0FECB1B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CHRM3</w:t>
            </w:r>
          </w:p>
        </w:tc>
        <w:tc>
          <w:tcPr>
            <w:tcW w:w="2245" w:type="dxa"/>
            <w:vAlign w:val="center"/>
          </w:tcPr>
          <w:p w14:paraId="066B401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Symptoms of overdose may include fast heartbeat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{"citationID":"R5k2Tuoz","properties":{"formattedCitation":"(Solifenacin. Medline Plus., 2020)","plainCitation":"(Solifenacin. Medline Plus., 2020)","noteIndex":0},"citationItems":[{"id":4410,"uris":["http://zotero.org/users/4539338/items/LUZTJT6F"],"uri":["http://zotero.org/users/4539338/items/LUZTJT6F"],"itemData":{"id":4410,"type":"webpage","title":"Accessed November 28, 2020. https://medlineplus.gov/druginfo/meds/a605019.html","author":[{"family":"Solifenacin. Medline Plus.","given":""}],"issued":{"date-parts":[["2020"]]}}}],"schema":"https://github.com/citation-style-language/schema/raw/master/csl-citation.json"}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(Solifenacin. Medline Plus., 2020)</w:t>
            </w:r>
            <w:r w:rsidRPr="00333EA1">
              <w:rPr>
                <w:rFonts w:ascii="Arial" w:hAnsi="Arial" w:cs="Arial"/>
                <w:color w:val="000000" w:themeColor="text1"/>
                <w:sz w:val="20"/>
                <w:szCs w:val="20"/>
                <w:shd w:val="clear" w:color="auto" w:fill="E6E6E6"/>
              </w:rPr>
              <w:fldChar w:fldCharType="end"/>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{"citationID":"s5Vq1NGS","properties":{"formattedCitation":"(Solifenacin. Medline Plus., n.d.)","plainCitation":"(Solifenacin. Medline Plus., n.d.)","dontUpdate":true,"noteIndex":0},"citationItems":[{"id":4410,"uris":["http://zotero.org/users/4539338/items/LUZTJT6F"],"uri":["http://zotero.org/users/4539338/items/LUZTJT6F"],"itemData":{"id":4410,"type":"webpage","title":"Accessed November 28, 2020. https://medlineplus.gov/druginfo/meds/a605019.html","author":[{"family":"Solifenacin. Medline Plus.","given":""}],"issued":{"date-parts":[["2020"]]}}}],"schema":"https://github.com/citation-style-language/schema/raw/master/csl-citation.json"} </w:instrText>
            </w:r>
            <w:r w:rsidRPr="00333EA1">
              <w:rPr>
                <w:rFonts w:ascii="Arial" w:hAnsi="Arial" w:cs="Arial"/>
                <w:color w:val="000000" w:themeColor="text1"/>
                <w:sz w:val="20"/>
                <w:szCs w:val="20"/>
                <w:shd w:val="clear" w:color="auto" w:fill="E6E6E6"/>
              </w:rPr>
              <w:fldChar w:fldCharType="end"/>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ZOTERO_TEMP </w:instrText>
            </w:r>
            <w:r w:rsidRPr="00333EA1">
              <w:rPr>
                <w:rFonts w:ascii="Arial" w:hAnsi="Arial" w:cs="Arial"/>
                <w:color w:val="000000" w:themeColor="text1"/>
                <w:sz w:val="20"/>
                <w:szCs w:val="20"/>
                <w:shd w:val="clear" w:color="auto" w:fill="E6E6E6"/>
              </w:rPr>
              <w:fldChar w:fldCharType="end"/>
            </w:r>
          </w:p>
        </w:tc>
      </w:tr>
      <w:tr w:rsidR="00DC1B36" w:rsidRPr="00333EA1" w14:paraId="325839CF" w14:textId="77777777" w:rsidTr="00591460">
        <w:tc>
          <w:tcPr>
            <w:tcW w:w="1705" w:type="dxa"/>
            <w:vAlign w:val="center"/>
          </w:tcPr>
          <w:p w14:paraId="68B99A2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BI-2536</w:t>
            </w:r>
          </w:p>
        </w:tc>
        <w:tc>
          <w:tcPr>
            <w:tcW w:w="1620" w:type="dxa"/>
            <w:vAlign w:val="center"/>
          </w:tcPr>
          <w:p w14:paraId="335A9FC8"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Investigational drug (Phase 2)</w:t>
            </w:r>
          </w:p>
        </w:tc>
        <w:tc>
          <w:tcPr>
            <w:tcW w:w="2434" w:type="dxa"/>
            <w:vAlign w:val="center"/>
          </w:tcPr>
          <w:p w14:paraId="36B0938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Oncology/PLK1 and BRD4 Inhibitor</w:t>
            </w:r>
          </w:p>
        </w:tc>
        <w:tc>
          <w:tcPr>
            <w:tcW w:w="1346" w:type="dxa"/>
            <w:vAlign w:val="center"/>
          </w:tcPr>
          <w:p w14:paraId="2F193E2C"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PLK1, BRD4</w:t>
            </w:r>
          </w:p>
        </w:tc>
        <w:tc>
          <w:tcPr>
            <w:tcW w:w="2245" w:type="dxa"/>
            <w:vAlign w:val="center"/>
          </w:tcPr>
          <w:p w14:paraId="7672EF6E"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00E21D8D" w14:textId="77777777" w:rsidTr="00591460">
        <w:tc>
          <w:tcPr>
            <w:tcW w:w="1705" w:type="dxa"/>
            <w:vAlign w:val="center"/>
          </w:tcPr>
          <w:p w14:paraId="7DAE94EF"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Daunorubicin</w:t>
            </w:r>
          </w:p>
        </w:tc>
        <w:tc>
          <w:tcPr>
            <w:tcW w:w="1620" w:type="dxa"/>
            <w:vAlign w:val="center"/>
          </w:tcPr>
          <w:p w14:paraId="2D9493C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37F5219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Anthracycline. DNA and RNA synthesis and inhibits DNA synthesis/Topoisomerase II inhibitor</w:t>
            </w:r>
          </w:p>
        </w:tc>
        <w:tc>
          <w:tcPr>
            <w:tcW w:w="1346" w:type="dxa"/>
            <w:vAlign w:val="center"/>
          </w:tcPr>
          <w:p w14:paraId="521571F8"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DNA, TOP2A</w:t>
            </w:r>
          </w:p>
        </w:tc>
        <w:tc>
          <w:tcPr>
            <w:tcW w:w="2245" w:type="dxa"/>
            <w:vAlign w:val="center"/>
          </w:tcPr>
          <w:p w14:paraId="1BC21D1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Doxorubicin analog, known to cause cardiotoxicity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{"citationID":"Errpx36y","properties":{"formattedCitation":"(Menna et al., 2012; Sawyer et al., 2010)","plainCitation":"(Menna et al., 2012; Sawyer et al., 2010)","noteIndex":0},"citationItems":[{"id":4379,"uris":["http://zotero.org/users/4539338/items/NXPVD6K2"],"uri":["http://zotero.org/users/4539338/items/NXPVD6K2"],"itemData":{"id":4379,"type":"article-journal","abstract":"Introduction: Anthracyclines are widely prescribed anticancer agents that cause a dose-related cardiotoxicity, often aggravated by nonanthracycline chemotherapeutics or new generation targeted drugs. Anthracycline cardiotoxicity may occur anytime in the life of cancer survivors. Understanding the molecular mechanisms and clinical correlates of cardiotoxicity is necessary to improve the therapeutic index of anthracyclines or to identify active, but less cardiotoxic analogs. Areas covered: The authors review the pharmacokinetic, pharmacodynamic and biochemical mechanisms of anthracycline cardiotoxicity and correlate them to clinical phenotypes of cardiac dysfunction. Attention is paid to bioactivation mechanisms that converted anthracyclines to reactive oxygen species (ROS) or long-lived secondary alcohol metabolites. Preclinical aspects and clinical implications of the “oxidative stress” or “secondary alcohol metabolite” hypotheses are discussed on the basis of literature that cuts across bench and evidence-based medicine. Interactions of anthracyclines with comorbidities or unfavorable lifestyle choices were identified as important cofactors of the lifetime risk of cardiotoxicity and as possible targets of preventative strategies. Expert opinion: Anthracycline cardiotoxicity is a multifactorial process that needs to be incorporated in a translational framework, where individual genetic background, comorbidities, lifestyles and other drugs play an equally important role. Fears for cardiotoxicity should not discourage from using anthracyclines in many oncologic settings. Cardioprotective strategies are available and should be used more pragmatically in routine clinical practice.","container-title":"Expert Opinion on Drug Safety","DOI":"10.1517/14740338.2011.589834","ISSN":"1474-0338","issue":"sup1","note":"publisher: Taylor &amp; Francis\n_eprint: https://doi.org/10.1517/14740338.2011.589834\nPMID: 21635149","page":"S21-S36","source":"Taylor and Francis+NEJM","title":"Anthracycline cardiotoxicity","volume":"11","author":[{"family":"Menna","given":"Pierantonio"},{"family":"Paz","given":"Odalys Gonzalez"},{"family":"Chello","given":"Massimo"},{"family":"Covino","given":"Elvio"},{"family":"Salvatorelli","given":"Emanuela"},{"family":"Minotti","given":"Giorgio"}],"issued":{"date-parts":[["2012",5,1]]}}},{"id":4382,"uris":["http://zotero.org/users/4539338/items/AW8PLYD8"],"uri":["http://zotero.org/users/4539338/items/AW8PLYD8"],"itemData":{"id":4382,"type":"article-journal","abstract":"Anthracycline antibiotics have saved the lives of many cancer victims in the 50 plus years since their discovery. A major limitation of their use is the dose-limiting cardiotoxicity. Efforts focusing on understanding the biochemical basis for anthracycline cardiac effects have provided several strategies currently in clinical use: limit dose exposure, encapsulate anthracyclines in liposomes to reduce myocardial uptake, administer concurrently with the iron chelator dexrazoxane to reduce free iron-catalyzed reactive oxygen species formation; and modify anthracycline structure in an effort to reduce myocardial toxicity. Despite these efforts, anthracycline-induced heart failure continues to occur with consequences for both morbidity and mortality. Our inability to predict and prevent anthracycline cardiotoxicity is, in part, due to the fact that the molecular and cellular mechanisms remain controversial and incompletely understood. Studies examining the effects of anthracyclines in cardiac myocytes in vitro and small animals in vivo have demonstrated several forms of cardiac injury, and it remains unclear how these translate to the clinical setting. Given the clinical evidence that myocyte death occurs after anthracycline exposure in the form of elevations in serum troponin, myocyte cell death seems to be a probable mechanism for anthracycline-induced cardiac injury. Other mechanisms of myocyte injury include the development of cellular \"sarcopenia\" characterized by disruption of normal sarcomere structure. Anthracyclines suppress expression of several cardiac transcription factors, and this may play a role in the development of myocyte death as well as sarcopenia. Degradation of the giant myofilament protein titin may represent an important proximal step that leads to accelerated myofilament degradation. An interesting interaction has been noted clinically between anthracyclines and newer cancer therapies that target the erbB2 receptor tyrosine kinase. There is now evidence that erbB2 signaling in response to the ligand neuregulin regulates anthracycline uptake into cells via the multidrug-resistance protein. Therefore, up-regulation of cardiac neuregulin signaling may be one strategy to limit myocardial anthracycline injury. Moreover, assessing an individual's risk for anthracycline injury may be improved by having some measure of endogenous activity of this and other myocardial protective signals.","container-title":"Progress in Cardiovascular Diseases","DOI":"10.1016/j.pcad.2010.06.007","ISSN":"1873-1740","issue":"2","journalAbbreviation":"Prog Cardiovasc Dis","language":"eng","note":"PMID: 20728697\nPMCID: PMC2933091","page":"105-113","source":"PubMed","title":"Mechanisms of anthracycline cardiac injury: can we identify strategies for cardioprotection?","title-short":"Mechanisms of anthracycline cardiac injury","volume":"53","author":[{"family":"Sawyer","given":"Douglas B."},{"family":"Peng","given":"Xuyang"},{"family":"Chen","given":"Billy"},{"family":"Pentassuglia","given":"Laura"},{"family":"Lim","given":"Chee Chew"}],"issued":{"date-parts":[["2010",10]]}}}],"schema":"https://github.com/citation-style-language/schema/raw/master/csl-citation.json"}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(Menna et al., 2012; Sawyer et al., 2010)</w:t>
            </w:r>
            <w:r w:rsidRPr="00333EA1">
              <w:rPr>
                <w:rFonts w:ascii="Arial" w:hAnsi="Arial" w:cs="Arial"/>
                <w:color w:val="000000" w:themeColor="text1"/>
                <w:sz w:val="20"/>
                <w:szCs w:val="20"/>
                <w:shd w:val="clear" w:color="auto" w:fill="E6E6E6"/>
              </w:rPr>
              <w:fldChar w:fldCharType="end"/>
            </w:r>
          </w:p>
        </w:tc>
      </w:tr>
      <w:tr w:rsidR="00DC1B36" w:rsidRPr="00333EA1" w14:paraId="3E68FEC8" w14:textId="77777777" w:rsidTr="00591460">
        <w:tc>
          <w:tcPr>
            <w:tcW w:w="1705" w:type="dxa"/>
            <w:vAlign w:val="center"/>
          </w:tcPr>
          <w:p w14:paraId="7D944DCF"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Nitrendipine</w:t>
            </w:r>
          </w:p>
        </w:tc>
        <w:tc>
          <w:tcPr>
            <w:tcW w:w="1620" w:type="dxa"/>
            <w:vAlign w:val="center"/>
          </w:tcPr>
          <w:p w14:paraId="3D7A091E"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0DBCA02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Antihypertensive agent, vasodilator/calcium channel blocker</w:t>
            </w:r>
          </w:p>
        </w:tc>
        <w:tc>
          <w:tcPr>
            <w:tcW w:w="1346" w:type="dxa"/>
            <w:vAlign w:val="center"/>
          </w:tcPr>
          <w:p w14:paraId="18582932"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CACNA2D1, CACNA1C, CACNB2</w:t>
            </w:r>
          </w:p>
        </w:tc>
        <w:tc>
          <w:tcPr>
            <w:tcW w:w="2245" w:type="dxa"/>
            <w:vAlign w:val="center"/>
          </w:tcPr>
          <w:p w14:paraId="09312BC6" w14:textId="77777777" w:rsidR="00DC1B36" w:rsidRPr="00333EA1" w:rsidRDefault="00DC1B36" w:rsidP="00591460">
            <w:pPr>
              <w:spacing w:line="480" w:lineRule="auto"/>
              <w:rPr>
                <w:rFonts w:ascii="Arial" w:hAnsi="Arial" w:cs="Arial"/>
                <w:color w:val="000000" w:themeColor="text1"/>
                <w:sz w:val="20"/>
                <w:szCs w:val="20"/>
              </w:rPr>
            </w:pPr>
          </w:p>
        </w:tc>
      </w:tr>
      <w:tr w:rsidR="00DC1B36" w:rsidRPr="00333EA1" w14:paraId="0638212E" w14:textId="77777777" w:rsidTr="00591460">
        <w:tc>
          <w:tcPr>
            <w:tcW w:w="1705" w:type="dxa"/>
            <w:vAlign w:val="center"/>
          </w:tcPr>
          <w:p w14:paraId="5D030CCE"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PHA-767491</w:t>
            </w:r>
          </w:p>
        </w:tc>
        <w:tc>
          <w:tcPr>
            <w:tcW w:w="1620" w:type="dxa"/>
            <w:vAlign w:val="center"/>
          </w:tcPr>
          <w:p w14:paraId="590F25FB"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Tool compound</w:t>
            </w:r>
          </w:p>
        </w:tc>
        <w:tc>
          <w:tcPr>
            <w:tcW w:w="2434" w:type="dxa"/>
            <w:vAlign w:val="center"/>
          </w:tcPr>
          <w:p w14:paraId="353104A5" w14:textId="77777777" w:rsidR="00DC1B36" w:rsidRPr="00333EA1" w:rsidRDefault="00DC1B36" w:rsidP="00591460">
            <w:pPr>
              <w:spacing w:line="480" w:lineRule="auto"/>
              <w:rPr>
                <w:rFonts w:ascii="Arial" w:hAnsi="Arial" w:cs="Arial"/>
                <w:color w:val="000000" w:themeColor="text1"/>
                <w:sz w:val="20"/>
                <w:szCs w:val="20"/>
              </w:rPr>
            </w:pPr>
          </w:p>
        </w:tc>
        <w:tc>
          <w:tcPr>
            <w:tcW w:w="1346" w:type="dxa"/>
            <w:vAlign w:val="center"/>
          </w:tcPr>
          <w:p w14:paraId="348C0E73"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CDK inhibitor</w:t>
            </w:r>
          </w:p>
        </w:tc>
        <w:tc>
          <w:tcPr>
            <w:tcW w:w="2245" w:type="dxa"/>
            <w:vAlign w:val="center"/>
          </w:tcPr>
          <w:p w14:paraId="7C1329D1" w14:textId="77777777" w:rsidR="00DC1B36" w:rsidRPr="00333EA1" w:rsidRDefault="00DC1B36" w:rsidP="00591460">
            <w:pPr>
              <w:spacing w:line="480" w:lineRule="auto"/>
              <w:rPr>
                <w:rFonts w:ascii="Arial" w:hAnsi="Arial" w:cs="Arial"/>
                <w:color w:val="000000" w:themeColor="text1"/>
                <w:sz w:val="20"/>
                <w:szCs w:val="20"/>
                <w:highlight w:val="yellow"/>
              </w:rPr>
            </w:pPr>
          </w:p>
        </w:tc>
      </w:tr>
      <w:tr w:rsidR="00DC1B36" w:rsidRPr="00333EA1" w14:paraId="1C48781B" w14:textId="77777777" w:rsidTr="00591460">
        <w:tc>
          <w:tcPr>
            <w:tcW w:w="1705" w:type="dxa"/>
            <w:vAlign w:val="center"/>
          </w:tcPr>
          <w:p w14:paraId="325D84B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Rosiglitazone</w:t>
            </w:r>
          </w:p>
        </w:tc>
        <w:tc>
          <w:tcPr>
            <w:tcW w:w="1620" w:type="dxa"/>
            <w:vAlign w:val="center"/>
          </w:tcPr>
          <w:p w14:paraId="48B8C090"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Approved</w:t>
            </w:r>
          </w:p>
        </w:tc>
        <w:tc>
          <w:tcPr>
            <w:tcW w:w="2434" w:type="dxa"/>
            <w:vAlign w:val="center"/>
          </w:tcPr>
          <w:p w14:paraId="72C01F9D"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Type 2 diabetes/</w:t>
            </w:r>
          </w:p>
          <w:p w14:paraId="4F89B8EE"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PPAR-γ agonist</w:t>
            </w:r>
          </w:p>
        </w:tc>
        <w:tc>
          <w:tcPr>
            <w:tcW w:w="1346" w:type="dxa"/>
            <w:vAlign w:val="center"/>
          </w:tcPr>
          <w:p w14:paraId="718855B4"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PPARG</w:t>
            </w:r>
          </w:p>
        </w:tc>
        <w:tc>
          <w:tcPr>
            <w:tcW w:w="2245" w:type="dxa"/>
            <w:vAlign w:val="center"/>
          </w:tcPr>
          <w:p w14:paraId="164CD307"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 xml:space="preserve">Associated with increase risk of myocardial infarction </w:t>
            </w:r>
            <w:r w:rsidRPr="00333EA1">
              <w:rPr>
                <w:rFonts w:ascii="Arial" w:hAnsi="Arial" w:cs="Arial"/>
                <w:color w:val="000000" w:themeColor="text1"/>
                <w:sz w:val="20"/>
                <w:szCs w:val="20"/>
                <w:shd w:val="clear" w:color="auto" w:fill="E6E6E6"/>
              </w:rPr>
              <w:fldChar w:fldCharType="begin"/>
            </w:r>
            <w:r w:rsidRPr="00333EA1">
              <w:rPr>
                <w:rFonts w:ascii="Arial" w:hAnsi="Arial" w:cs="Arial"/>
                <w:color w:val="000000" w:themeColor="text1"/>
                <w:sz w:val="20"/>
                <w:szCs w:val="20"/>
              </w:rPr>
              <w:instrText xml:space="preserve"> ADDIN ZOTERO_ITEM CSL_CITATION {"citationID":"8MJBOr6X","properties":{"formattedCitation":"(Nissen and Wolski, 2007)","plainCitation":"(Nissen and Wolski, 2007)","noteIndex":0},"citationItems":[{"id":4412,"uris":["http://zotero.org/users/4539338/items/UBHEVDXP"],"uri":["http://zotero.org/users/4539338/items/UBHEVDXP"],"itemData":{"id":4412,"type":"article-journal","abstract":"In this meta-analysis, rosiglitazone, a peroxisome-proliferator–activated receptor agonist used for glucose control in type 2 diabetes, was found to be associated with an increased risk of myocardial infarction and death from cardiovascular causes. These findings raise safety concerns, but further analyses of patient-level data are needed to draw definitive conclusions.","container-title":"New England Journal of Medicine","DOI":"10.1056/NEJMoa072761","ISSN":"0028-4793","issue":"24","note":"publisher: Massachusetts Medical Society\n_eprint: https://doi.org/10.1056/NEJMoa072761\nPMID: 17517853","page":"2457-2471","source":"Taylor and Francis+NEJM","title":"Effect of Rosiglitazone on the Risk of Myocardial Infarction and Death from Cardiovascular Causes","volume":"356","author":[{"family":"Nissen","given":"Steven E."},{"family":"Wolski","given":"Kathy"}],"issued":{"date-parts":[["2007",6,14]]}}}],"schema":"https://github.com/citation-style-language/schema/raw/master/csl-citation.json"} </w:instrText>
            </w:r>
            <w:r w:rsidRPr="00333EA1">
              <w:rPr>
                <w:rFonts w:ascii="Arial" w:hAnsi="Arial" w:cs="Arial"/>
                <w:color w:val="000000" w:themeColor="text1"/>
                <w:sz w:val="20"/>
                <w:szCs w:val="20"/>
                <w:shd w:val="clear" w:color="auto" w:fill="E6E6E6"/>
              </w:rPr>
              <w:fldChar w:fldCharType="separate"/>
            </w:r>
            <w:r w:rsidRPr="00333EA1">
              <w:rPr>
                <w:rFonts w:ascii="Arial" w:hAnsi="Arial" w:cs="Arial"/>
                <w:noProof/>
                <w:color w:val="000000" w:themeColor="text1"/>
                <w:sz w:val="20"/>
                <w:szCs w:val="20"/>
              </w:rPr>
              <w:t>(Nissen and Wolski, 2007)</w:t>
            </w:r>
            <w:r w:rsidRPr="00333EA1">
              <w:rPr>
                <w:rFonts w:ascii="Arial" w:hAnsi="Arial" w:cs="Arial"/>
                <w:color w:val="000000" w:themeColor="text1"/>
                <w:sz w:val="20"/>
                <w:szCs w:val="20"/>
                <w:shd w:val="clear" w:color="auto" w:fill="E6E6E6"/>
              </w:rPr>
              <w:fldChar w:fldCharType="end"/>
            </w:r>
          </w:p>
        </w:tc>
      </w:tr>
      <w:tr w:rsidR="00DC1B36" w:rsidRPr="00333EA1" w14:paraId="62AD4AF3" w14:textId="77777777" w:rsidTr="00591460">
        <w:tc>
          <w:tcPr>
            <w:tcW w:w="1705" w:type="dxa"/>
            <w:vAlign w:val="center"/>
          </w:tcPr>
          <w:p w14:paraId="23345F01"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AG-1478</w:t>
            </w:r>
          </w:p>
        </w:tc>
        <w:tc>
          <w:tcPr>
            <w:tcW w:w="1620" w:type="dxa"/>
            <w:vAlign w:val="center"/>
          </w:tcPr>
          <w:p w14:paraId="2B2D6FDF"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Tool compound</w:t>
            </w:r>
          </w:p>
        </w:tc>
        <w:tc>
          <w:tcPr>
            <w:tcW w:w="2434" w:type="dxa"/>
            <w:vAlign w:val="center"/>
          </w:tcPr>
          <w:p w14:paraId="092994EF"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EGFR inhibitor</w:t>
            </w:r>
          </w:p>
        </w:tc>
        <w:tc>
          <w:tcPr>
            <w:tcW w:w="1346" w:type="dxa"/>
            <w:vAlign w:val="center"/>
          </w:tcPr>
          <w:p w14:paraId="1B433CEA" w14:textId="77777777" w:rsidR="00DC1B36" w:rsidRPr="00333EA1" w:rsidRDefault="00DC1B36" w:rsidP="00591460">
            <w:pPr>
              <w:spacing w:line="480" w:lineRule="auto"/>
              <w:rPr>
                <w:rFonts w:ascii="Arial" w:hAnsi="Arial" w:cs="Arial"/>
                <w:color w:val="000000" w:themeColor="text1"/>
                <w:sz w:val="20"/>
                <w:szCs w:val="20"/>
              </w:rPr>
            </w:pPr>
            <w:r w:rsidRPr="00333EA1">
              <w:rPr>
                <w:rFonts w:ascii="Arial" w:hAnsi="Arial" w:cs="Arial"/>
                <w:color w:val="000000" w:themeColor="text1"/>
                <w:sz w:val="20"/>
                <w:szCs w:val="20"/>
              </w:rPr>
              <w:t>EGFR</w:t>
            </w:r>
          </w:p>
        </w:tc>
        <w:tc>
          <w:tcPr>
            <w:tcW w:w="2245" w:type="dxa"/>
            <w:vAlign w:val="center"/>
          </w:tcPr>
          <w:p w14:paraId="7D84974C" w14:textId="77777777" w:rsidR="00DC1B36" w:rsidRPr="00333EA1" w:rsidRDefault="00DC1B36" w:rsidP="00591460">
            <w:pPr>
              <w:spacing w:line="480" w:lineRule="auto"/>
              <w:rPr>
                <w:rFonts w:ascii="Arial" w:hAnsi="Arial" w:cs="Arial"/>
                <w:color w:val="000000" w:themeColor="text1"/>
                <w:sz w:val="20"/>
                <w:szCs w:val="20"/>
              </w:rPr>
            </w:pPr>
          </w:p>
        </w:tc>
      </w:tr>
    </w:tbl>
    <w:p w14:paraId="28F07E4A" w14:textId="6CFC5058" w:rsidR="003C5349" w:rsidRPr="00DC1B36" w:rsidRDefault="00DC1B36" w:rsidP="00DC1B36">
      <w:pPr>
        <w:spacing w:line="480" w:lineRule="auto"/>
        <w:rPr>
          <w:rFonts w:ascii="Arial" w:hAnsi="Arial" w:cs="Arial"/>
          <w:color w:val="000000" w:themeColor="text1"/>
        </w:rPr>
      </w:pPr>
      <w:r w:rsidRPr="00333EA1">
        <w:rPr>
          <w:rFonts w:ascii="Arial" w:hAnsi="Arial" w:cs="Arial"/>
          <w:color w:val="000000" w:themeColor="text1"/>
        </w:rPr>
        <w:t>ACE, angiotensin converting enzyme; ADRB, adrenoceptor beta; ALOX5, arachidonate 5-lipoxygenase; BRAF, B-Raf proto-oncogene, serine/threonine kinase; BRD, bromodomain containing.;CACNA/B, calcium voltage-gated channel auxiliary subunit (A/B); CDK, cyclin dependent kinase; CHRM, cholinergic receptor muscarinic; dacB, D-</w:t>
      </w:r>
      <w:r w:rsidRPr="00333EA1">
        <w:rPr>
          <w:rFonts w:ascii="Arial" w:hAnsi="Arial" w:cs="Arial"/>
          <w:color w:val="000000" w:themeColor="text1"/>
        </w:rPr>
        <w:lastRenderedPageBreak/>
        <w:t>alanyl-D-alanine carboxypeptidase; DRD, dopamine receptor D; EGFR, epidermal growth factor receptor; HTR, 5-hydroxytryptamine receptor; KCNH, potassium voltage-gated channel subfamily H; KDR, kinase insert domain receptor; KIT, KIT proto-oncogene, receptor tyrosine kinase; KRAS, kirsten rat sarcoma; MAOB, monoamine oxidase B; MAP2K1, mitogen-activated protein kinase kinase; MTNR, melatonin receptor; NR3C, nuclear receptor subfamily 3 group C; PDE, phosphodiesterase; PLK, polo like kinase; PPARG, peroxisome proliferator activated receptor gamma; TOP2A, DNA topoisomerase II alpha.</w:t>
      </w:r>
    </w:p>
    <w:sectPr w:rsidR="003C5349" w:rsidRPr="00DC1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36"/>
    <w:rsid w:val="003C5349"/>
    <w:rsid w:val="00DC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37C3B9"/>
  <w15:chartTrackingRefBased/>
  <w15:docId w15:val="{C3261695-099A-7642-9C7A-79F544FF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1B36"/>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3597</Words>
  <Characters>20507</Characters>
  <Application>Microsoft Office Word</Application>
  <DocSecurity>0</DocSecurity>
  <Lines>170</Lines>
  <Paragraphs>48</Paragraphs>
  <ScaleCrop>false</ScaleCrop>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Mandegar</dc:creator>
  <cp:keywords/>
  <dc:description/>
  <cp:lastModifiedBy>Mo Mandegar</cp:lastModifiedBy>
  <cp:revision>1</cp:revision>
  <dcterms:created xsi:type="dcterms:W3CDTF">2021-06-22T04:40:00Z</dcterms:created>
  <dcterms:modified xsi:type="dcterms:W3CDTF">2021-06-22T04:40:00Z</dcterms:modified>
</cp:coreProperties>
</file>