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3969D" w14:textId="211F5320" w:rsidR="00787EF9" w:rsidRDefault="00787EF9" w:rsidP="00787EF9">
      <w:pPr>
        <w:rPr>
          <w:rFonts w:ascii="Arial" w:hAnsi="Arial" w:cs="Arial"/>
          <w:b/>
          <w:bCs/>
          <w:color w:val="000000"/>
          <w:sz w:val="22"/>
          <w:szCs w:val="22"/>
        </w:rPr>
      </w:pPr>
      <w:r>
        <w:rPr>
          <w:rFonts w:ascii="Arial" w:hAnsi="Arial" w:cs="Arial"/>
          <w:b/>
          <w:bCs/>
          <w:color w:val="000000"/>
          <w:sz w:val="22"/>
          <w:szCs w:val="22"/>
        </w:rPr>
        <w:t>Comparison of time-varying exposure coding approaches</w:t>
      </w:r>
    </w:p>
    <w:tbl>
      <w:tblPr>
        <w:tblStyle w:val="TableGrid"/>
        <w:tblpPr w:leftFromText="180" w:rightFromText="180" w:vertAnchor="text" w:tblpY="1"/>
        <w:tblOverlap w:val="never"/>
        <w:tblW w:w="8668" w:type="dxa"/>
        <w:tblLayout w:type="fixed"/>
        <w:tblLook w:val="04A0" w:firstRow="1" w:lastRow="0" w:firstColumn="1" w:lastColumn="0" w:noHBand="0" w:noVBand="1"/>
      </w:tblPr>
      <w:tblGrid>
        <w:gridCol w:w="2593"/>
        <w:gridCol w:w="2717"/>
        <w:gridCol w:w="3358"/>
      </w:tblGrid>
      <w:tr w:rsidR="00787EF9" w:rsidRPr="0095177F" w14:paraId="5EB771AE" w14:textId="77777777" w:rsidTr="006249F0">
        <w:trPr>
          <w:trHeight w:val="800"/>
        </w:trPr>
        <w:tc>
          <w:tcPr>
            <w:tcW w:w="2593" w:type="dxa"/>
            <w:tcBorders>
              <w:left w:val="nil"/>
              <w:right w:val="nil"/>
            </w:tcBorders>
            <w:shd w:val="clear" w:color="auto" w:fill="auto"/>
            <w:vAlign w:val="center"/>
          </w:tcPr>
          <w:p w14:paraId="33F5E325" w14:textId="77777777" w:rsidR="00787EF9" w:rsidRPr="0095177F" w:rsidRDefault="00787EF9" w:rsidP="006249F0">
            <w:pPr>
              <w:widowControl w:val="0"/>
              <w:rPr>
                <w:rFonts w:ascii="Arial" w:hAnsi="Arial" w:cs="Arial"/>
                <w:b/>
                <w:color w:val="000000" w:themeColor="text1"/>
                <w:sz w:val="20"/>
                <w:szCs w:val="20"/>
              </w:rPr>
            </w:pPr>
            <w:r>
              <w:rPr>
                <w:rFonts w:ascii="Arial" w:hAnsi="Arial" w:cs="Arial"/>
                <w:b/>
                <w:color w:val="000000" w:themeColor="text1"/>
                <w:sz w:val="20"/>
                <w:szCs w:val="20"/>
              </w:rPr>
              <w:t>Exposure coding method</w:t>
            </w:r>
          </w:p>
        </w:tc>
        <w:tc>
          <w:tcPr>
            <w:tcW w:w="2717" w:type="dxa"/>
            <w:tcBorders>
              <w:left w:val="nil"/>
              <w:right w:val="nil"/>
            </w:tcBorders>
            <w:shd w:val="clear" w:color="auto" w:fill="auto"/>
            <w:vAlign w:val="center"/>
          </w:tcPr>
          <w:p w14:paraId="7B17E1AC" w14:textId="77777777" w:rsidR="00787EF9" w:rsidRPr="0095177F" w:rsidRDefault="00787EF9" w:rsidP="006249F0">
            <w:pPr>
              <w:widowControl w:val="0"/>
              <w:jc w:val="center"/>
              <w:rPr>
                <w:rFonts w:ascii="Arial" w:hAnsi="Arial" w:cs="Arial"/>
                <w:bCs/>
                <w:color w:val="000000" w:themeColor="text1"/>
                <w:sz w:val="20"/>
                <w:szCs w:val="20"/>
              </w:rPr>
            </w:pPr>
            <w:r>
              <w:rPr>
                <w:rFonts w:ascii="Arial" w:hAnsi="Arial" w:cs="Arial"/>
                <w:b/>
                <w:color w:val="000000" w:themeColor="text1"/>
                <w:sz w:val="20"/>
                <w:szCs w:val="20"/>
              </w:rPr>
              <w:t>Description</w:t>
            </w:r>
          </w:p>
        </w:tc>
        <w:tc>
          <w:tcPr>
            <w:tcW w:w="3358" w:type="dxa"/>
            <w:tcBorders>
              <w:left w:val="nil"/>
              <w:right w:val="nil"/>
            </w:tcBorders>
            <w:shd w:val="clear" w:color="auto" w:fill="auto"/>
            <w:vAlign w:val="center"/>
          </w:tcPr>
          <w:p w14:paraId="5E397E84" w14:textId="77777777" w:rsidR="00787EF9" w:rsidRPr="0095177F" w:rsidRDefault="00787EF9" w:rsidP="006249F0">
            <w:pPr>
              <w:widowControl w:val="0"/>
              <w:jc w:val="center"/>
              <w:rPr>
                <w:rFonts w:ascii="Arial" w:hAnsi="Arial" w:cs="Arial"/>
                <w:bCs/>
                <w:color w:val="000000" w:themeColor="text1"/>
                <w:sz w:val="20"/>
                <w:szCs w:val="20"/>
              </w:rPr>
            </w:pPr>
            <w:r>
              <w:rPr>
                <w:rFonts w:ascii="Arial" w:hAnsi="Arial" w:cs="Arial"/>
                <w:b/>
                <w:color w:val="000000" w:themeColor="text1"/>
                <w:sz w:val="20"/>
                <w:szCs w:val="20"/>
              </w:rPr>
              <w:t>Rationale for including/excluding</w:t>
            </w:r>
          </w:p>
        </w:tc>
      </w:tr>
      <w:tr w:rsidR="00787EF9" w:rsidRPr="0095177F" w14:paraId="10A1C524" w14:textId="77777777" w:rsidTr="006249F0">
        <w:trPr>
          <w:trHeight w:val="568"/>
        </w:trPr>
        <w:tc>
          <w:tcPr>
            <w:tcW w:w="2593" w:type="dxa"/>
            <w:tcBorders>
              <w:top w:val="nil"/>
              <w:left w:val="nil"/>
              <w:bottom w:val="single" w:sz="4" w:space="0" w:color="auto"/>
              <w:right w:val="nil"/>
            </w:tcBorders>
            <w:vAlign w:val="center"/>
          </w:tcPr>
          <w:p w14:paraId="3E911759" w14:textId="77777777" w:rsidR="00787EF9" w:rsidRPr="00266639" w:rsidRDefault="00787EF9" w:rsidP="006249F0">
            <w:pPr>
              <w:widowControl w:val="0"/>
              <w:rPr>
                <w:rFonts w:ascii="Arial" w:hAnsi="Arial" w:cs="Arial"/>
                <w:b/>
                <w:sz w:val="20"/>
                <w:szCs w:val="20"/>
              </w:rPr>
            </w:pPr>
            <w:r w:rsidRPr="00266639">
              <w:rPr>
                <w:rFonts w:ascii="Arial" w:hAnsi="Arial" w:cs="Arial"/>
                <w:b/>
                <w:sz w:val="20"/>
                <w:szCs w:val="20"/>
              </w:rPr>
              <w:t>Intention-to-treat</w:t>
            </w:r>
          </w:p>
        </w:tc>
        <w:tc>
          <w:tcPr>
            <w:tcW w:w="2717" w:type="dxa"/>
            <w:tcBorders>
              <w:top w:val="nil"/>
              <w:left w:val="nil"/>
              <w:bottom w:val="single" w:sz="4" w:space="0" w:color="auto"/>
              <w:right w:val="nil"/>
            </w:tcBorders>
            <w:vAlign w:val="center"/>
          </w:tcPr>
          <w:p w14:paraId="5F3983D4" w14:textId="77777777" w:rsidR="00787EF9" w:rsidRPr="0095177F" w:rsidRDefault="00787EF9" w:rsidP="006249F0">
            <w:pPr>
              <w:widowControl w:val="0"/>
              <w:rPr>
                <w:rFonts w:ascii="Arial" w:hAnsi="Arial" w:cs="Arial"/>
                <w:sz w:val="20"/>
                <w:szCs w:val="20"/>
              </w:rPr>
            </w:pPr>
            <w:r>
              <w:rPr>
                <w:rFonts w:ascii="Arial" w:hAnsi="Arial" w:cs="Arial"/>
                <w:sz w:val="20"/>
                <w:szCs w:val="20"/>
              </w:rPr>
              <w:t>Take exposure status at baseline and apply it over the full follow-up period</w:t>
            </w:r>
          </w:p>
        </w:tc>
        <w:tc>
          <w:tcPr>
            <w:tcW w:w="3358" w:type="dxa"/>
            <w:tcBorders>
              <w:top w:val="nil"/>
              <w:left w:val="nil"/>
              <w:bottom w:val="single" w:sz="4" w:space="0" w:color="auto"/>
              <w:right w:val="nil"/>
            </w:tcBorders>
            <w:vAlign w:val="center"/>
          </w:tcPr>
          <w:p w14:paraId="3C833555" w14:textId="77777777" w:rsidR="00787EF9" w:rsidRPr="0095177F" w:rsidRDefault="00787EF9" w:rsidP="006249F0">
            <w:pPr>
              <w:widowControl w:val="0"/>
              <w:rPr>
                <w:rFonts w:ascii="Arial" w:hAnsi="Arial" w:cs="Arial"/>
                <w:sz w:val="20"/>
                <w:szCs w:val="20"/>
              </w:rPr>
            </w:pPr>
            <w:r>
              <w:rPr>
                <w:rFonts w:ascii="Arial" w:hAnsi="Arial" w:cs="Arial"/>
                <w:sz w:val="20"/>
                <w:szCs w:val="20"/>
              </w:rPr>
              <w:t xml:space="preserve">Can misclassify person-time if exposure frequently changes over time, as happens with the exposure in our study; this was commonly done in previous time to symptomatic malaria studies </w:t>
            </w:r>
            <w:r>
              <w:rPr>
                <w:rFonts w:ascii="Arial" w:hAnsi="Arial" w:cs="Arial"/>
                <w:sz w:val="20"/>
                <w:szCs w:val="20"/>
              </w:rPr>
              <w:fldChar w:fldCharType="begin" w:fldLock="1"/>
            </w:r>
            <w:r>
              <w:rPr>
                <w:rFonts w:ascii="Arial" w:hAnsi="Arial" w:cs="Arial"/>
                <w:sz w:val="20"/>
                <w:szCs w:val="20"/>
              </w:rPr>
              <w:instrText>ADDIN CSL_CITATION {"citationItems":[{"id":"ITEM-1","itemData":{"DOI":"10.1111/j.1365-3156.2004.01277.x","ISBN":"1360-2276 (Print)","ISSN":"13602276","PMID":"15303990","abstract":"OBJECTIVES: To assess the prevalence of asymptomatic parasitaemia, determine its association with symptomatic malaria, and identify independent predictors of asymptomatic parasitaemia in a cohort of children from Kampala, Uganda.\\n\\nMETHODS: A total of 316 children aged 6 months to 5 years were recruited from the community. The prevalence of asymptomatic parasitaemia was assessed at enrollment and approximately every 30 days during follow-up. Participants received all of their health care in our clinic, including a standardized approach to the diagnosis and treatment of symptomatic malaria.\\n\\nRESULTS: A total of 283 (90%) subjects completed the full 1-year follow-up and were included in this study, yielding 2557 routine smears. The prevalence of asymptomatic parasitaemia was 17% at enrollment, but 5-8% for the remainder of the study. The risk of developing symptomatic malaria within 30 days was significantly higher in those with a positive routine than in those with a negative one (50%vs. 9%, P &lt; 0.001). Higher parasite densities were associated with increased odds of developing symptomatic malaria within 30 days (P = 0.003). Only 11% of episodes of asymptomatic parasitaemia, involving 6% of subjects, arose and cleared without therapy. In multivariate analysis the only significant risk factor for asymptomatic parasitaemia was whether a child had any episode of symptomatic malaria during the course of the study (OR = 3.0, P = 0.02).\\n\\nCONCLUSION: In our cohort of children from an urban meso-endemic environment, asymptomatic parasitaemia was uncommon and frequently followed by symptomatic malaria. This suggests that presumptive treatment of asymptomatic parasitaemia in such settings would be an efficient means of preventing symptomatic malaria.","author":[{"dropping-particle":"","family":"Njama-Meya","given":"Denise","non-dropping-particle":"","parse-names":false,"suffix":""},{"dropping-particle":"","family":"Kamya","given":"Moses R.","non-dropping-particle":"","parse-names":false,"suffix":""},{"dropping-particle":"","family":"Dorsey","given":"Grant","non-dropping-particle":"","parse-names":false,"suffix":""}],"container-title":"Tropical Medicine and International Health","id":"ITEM-1","issue":"8","issued":{"date-parts":[["2004","8"]]},"page":"862-868","title":"Asymptomatic parasitaemia as a risk factor for symptomatic malaria in a cohort of Ugandan children","type":"article-journal","volume":"9"},"uris":["http://www.mendeley.com/documents/?uuid=faf59bb2-8a6c-3b5a-b1f0-ed80577c572a"]},{"id":"ITEM-2","itemData":{"DOI":"10.1186/1475-2875-7-193","ISBN":"1475-2875 (Electronic)\\n1475-2875 (Linking)","ISSN":"14752875","PMID":"18823542","abstract":"BACKGROUND: It is important to establish whether or not the presence of malaria parasites in peripheral blood of asymptomatic individuals is a predictor of future clinical mild malaria attacks (MMA). The aim of this study was to determine how an asymptomatic positive thick blood smear could be related to the occurrence of a MMA during the nine following days.\\n\\nMETHODS: The study was conducted in a cohort of 569 Senegalese children, who were investigated for Plasmodium falciparum asymptomatic carriage at two different times of the transmission season, the beginning (September) and the end (November). The occurrence of MMA was investigated in asymptomatic carriers and non-carriers, every three days for nine consecutive days. Survival analysis was performed and risk estimates were calculated by Cox proportional hazards model.\\n\\nRESULTS: At the beginning of the transmission season, 27.8% (147/529) of the children were asymptomatic carriers (ACs) and 5.4% (8/147) of MMA occurred among these, versus 1% (4/382) among non-carriers (RR = 5.32; IC = [1.56-18.15], p = 0.008). At the end of the transmission season, the frequency of asymptomatic carriers was similar to that observed at the beginning of the season (31.9%, p = 0.15), but no MMA was detected during this period.\\n\\nCONCLUSION: A significant association between P. falciparum asymptomatic carriage and the occurrence of MMA at the beginning of the transmission season was demonstrated, with a five-fold increase in the risk of developing a MMA in ACs. In the context of a possible distribution of IPTc in the future, drug strategies may have dramatic consequences due to the existence of ACs (both long term and short term), as they seem to play an important role in the individual protection to malaria, in the most exposed age groups.","author":[{"dropping-particle":"","family":"Port","given":"Agnès","non-dropping-particle":"Le","parse-names":false,"suffix":""},{"dropping-particle":"","family":"Cot","given":"Michel","non-dropping-particle":"","parse-names":false,"suffix":""},{"dropping-particle":"","family":"Etard","given":"Jean François","non-dropping-particle":"","parse-names":false,"suffix":""},{"dropping-particle":"","family":"Gaye","given":"Oumar","non-dropping-particle":"","parse-names":false,"suffix":""},{"dropping-particle":"","family":"Migot-Nabias","given":"Florence","non-dropping-particle":"","parse-names":false,"suffix":""},{"dropping-particle":"","family":"Garcia","given":"André","non-dropping-particle":"","parse-names":false,"suffix":""}],"container-title":"Malaria Journal","id":"ITEM-2","issued":{"date-parts":[["2008"]]},"title":"Relation between Plasmodium falciparum asymptomatic infection and malaria attacks in a cohort of Senegalese children","type":"article-journal","volume":"7"},"uris":["http://www.mendeley.com/documents/?uuid=8ea6ac29-a7f9-3442-a3ab-ee46d83ed2aa"]},{"id":"ITEM-3","itemData":{"DOI":"10.1093/cid/ciw849","ISBN":"1537-6591 (Electronic) 1058-4838 (Linking)","ISSN":"15376591","PMID":"28362910","abstract":"Background. Chronic asymptomatic Plasmodium falciparum infections are common in endemic areas and are thought to contribute to the maintenance of malaria immunity. Whether treatment of these infections increases the subsequent risk of clinical episodes of malaria is unclear. Methods. In a 3-year study in Mali, asymptomatic individuals with or without P. falciparum infection at the end of the 6-month dry season were identified by polymerase chain reaction (PCR), and clinical malaria risk was compared during the ensuing 6-month malaria transmission season. At the end of the second dry season, 3 groups of asymptomatic children were identified: (1) children infected with P. falciparum as detected by rapid diagnostic testing (RDT) who were treated with antimalarials (n = 104), (2) RDT-negative children whose untreated P. falciparum infections were detected retrospectively by PCR (n = 55), and (3) uninfected children (RDT/PCR negative) (n = 434). Clinical malaria risk during 2 subsequent malaria seasons was compared. Plasmodium falciparum-specific antibody kinetics during the dry season were compared in children who did or did not harbor asymptomatic P. falciparum infections. Results. Chronic asymptomatic P. falciparum infection predicted decreased clinical malaria risk during the subsequent malaria season(s); treatment of these infections did not alter this reduced risk. Plasmodium falciparum-specific antibodies declined similarly in children who did or did not harbor chronic asymptomatic P. falciparum infection during the dry season. Conclusions. These findings challenge the notion that chronic asymptomatic P. falciparum infection maintains malaria immunity and suggest that mass drug administration during the dry season should not increase the subsequent risk of clinical malaria.","author":[{"dropping-particle":"","family":"Portugal","given":"Silvia","non-dropping-particle":"","parse-names":false,"suffix":""},{"dropping-particle":"","family":"Tran","given":"Tuan M","non-dropping-particle":"","parse-names":false,"suffix":""},{"dropping-particle":"","family":"Ongoiba","given":"Aissata","non-dropping-particle":"","parse-names":false,"suffix":""},{"dropping-particle":"","family":"Bathily","given":"Aboudramane","non-dropping-particle":"","parse-names":false,"suffix":""},{"dropping-particle":"","family":"Li","given":"Shanping","non-dropping-particle":"","parse-names":false,"suffix":""},{"dropping-particle":"","family":"Doumbo","given":"Safiatou","non-dropping-particle":"","parse-names":false,"suffix":""},{"dropping-particle":"","family":"Skinner","given":"Jeff","non-dropping-particle":"","parse-names":false,"suffix":""},{"dropping-particle":"","family":"Doumtabe","given":"Didier","non-dropping-particle":"","parse-names":false,"suffix":""},{"dropping-particle":"","family":"Kone","given":"Younoussou","non-dropping-particle":"","parse-names":false,"suffix":""},{"dropping-particle":"","family":"Sangala","given":"Jules","non-dropping-particle":"","parse-names":false,"suffix":""},{"dropping-particle":"","family":"Jain","given":"Aarti","non-dropping-particle":"","parse-names":false,"suffix":""},{"dropping-particle":"","family":"Davies","given":"D Huw","non-dropping-particle":"","parse-names":false,"suffix":""},{"dropping-particle":"","family":"Hung","given":"Christopher","non-dropping-particle":"","parse-names":false,"suffix":""},{"dropping-particle":"","family":"Liang","given":"Li","non-dropping-particle":"","parse-names":false,"suffix":""},{"dropping-particle":"","family":"Ricklefs","given":"Stacy","non-dropping-particle":"","parse-names":false,"suffix":""},{"dropping-particle":"","family":"Homann","given":"Manijeh Vafa","non-dropping-particle":"","parse-names":false,"suffix":""},{"dropping-particle":"","family":"Felgner","given":"Philip L","non-dropping-particle":"","parse-names":false,"suffix":""},{"dropping-particle":"","family":"Porcella","given":"Stephen F","non-dropping-particle":"","parse-names":false,"suffix":""},{"dropping-particle":"","family":"Färnert","given":"Anna","non-dropping-particle":"","parse-names":false,"suffix":""},{"dropping-particle":"","family":"Doumbo","given":"Ogobara K","non-dropping-particle":"","parse-names":false,"suffix":""},{"dropping-particle":"","family":"Kayentao","given":"Kassoum","non-dropping-particle":"","parse-names":false,"suffix":""},{"dropping-particle":"","family":"Greenwood","given":"Brian M","non-dropping-particle":"","parse-names":false,"suffix":""},{"dropping-particle":"","family":"Traore","given":"Boubacar","non-dropping-particle":"","parse-names":false,"suffix":""},{"dropping-particle":"","family":"Crompton","given":"Peter D","non-dropping-particle":"","parse-names":false,"suffix":""}],"container-title":"Clinical Infectious Diseases","id":"ITEM-3","issue":"5","issued":{"date-parts":[["2017"]]},"page":"645-653","title":"Treatment of chronic asymptomatic plasmodium falciparum infection does not increase the risk of clinical malaria upon reinfection","type":"article-journal","volume":"64"},"uris":["http://www.mendeley.com/documents/?uuid=f4a449a1-b321-3a22-9e02-72639f387c2d"]},{"id":"ITEM-4","itemData":{"DOI":"10.1093/infdis/jiv088","ISBN":"0022-1899","ISSN":"15376613","PMID":"25712968","abstract":"BACKGROUND Immunity to the antigenically diverse parasite Plasmodium falciparum is acquired gradually after repeated exposure. Studies in areas of high malaria transmission have shown that asymptomatic individuals infected with multiclonal infections are at reduced risk of febrile malaria during follow-up. METHODS We assessed the relationship between the genetic diversity of clones in P. falciparum infections that persist through the dry season and the subsequent risk of febrile malaria in 225 individuals aged 2-25 years in Mali, where the 6-month malaria and dry seasons are sharply demarcated. Polymerase chain reaction-based genotyping of the highly polymorphic merozoite surface protein 2 gene was performed on blood samples collected at 5 cross-sectional surveys. RESULTS In an age-adjusted analysis, individuals with multiclonal P. falciparum infections before the rainy season were at reduced risk of febrile malaria, compared with individuals who were uninfected (hazard ratio [HR], 0.28; 95% confidence interval [CI], .11-.69). In contrast, there was no significant association between risk of malaria and having 1 clone at baseline (HR, 0.71; 95% CI, .36-1.40). CONCLUSIONS The results suggest that persistent multiclonal infections carried through the dry season contribute to protection against subsequent febrile malaria, possibly by maintaining protective immune responses that depend on ongoing parasite infection.","author":[{"dropping-particle":"","family":"Sonden","given":"Klara","non-dropping-particle":"","parse-names":false,"suffix":""},{"dropping-particle":"","family":"Doumbo","given":"Safiatou","non-dropping-particle":"","parse-names":false,"suffix":""},{"dropping-particle":"","family":"Hammar","given":"Ulf","non-dropping-particle":"","parse-names":false,"suffix":""},{"dropping-particle":"","family":"Vafa Homann","given":"Manijeh","non-dropping-particle":"","parse-names":false,"suffix":""},{"dropping-particle":"","family":"Ongoiba","given":"Aissata","non-dropping-particle":"","parse-names":false,"suffix":""},{"dropping-particle":"","family":"Traord","given":"Boubacar","non-dropping-particle":"","parse-names":false,"suffix":""},{"dropping-particle":"","family":"Bottai","given":"Matteo","non-dropping-particle":"","parse-names":false,"suffix":""},{"dropping-particle":"","family":"Crompton","given":"Peter D","non-dropping-particle":"","parse-names":false,"suffix":""},{"dropping-particle":"","family":"Färnert","given":"Anna","non-dropping-particle":"","parse-names":false,"suffix":""}],"container-title":"Journal of Infectious Diseases","id":"ITEM-4","issue":"4","issued":{"date-parts":[["2015"]]},"page":"608-616","title":"Asymptomatic Multiclonal Plasmodium falciparum Infections Carried Through the Dry Season Predict Protection Against Subsequent Clinical Malaria","type":"article-journal","volume":"212"},"uris":["http://www.mendeley.com/documents/?uuid=5a1d33c7-eb6f-3e32-8936-78cbf219c624"]},{"id":"ITEM-5","itemData":{"DOI":"10.1016/j.trstmh.2004.03.010","ISBN":"0035-9203 (Print)\\r0035-9203 (Linking)","ISSN":"00359203","PMID":"15485698","abstract":"Several studies suggest that in individuals with substantial previous exposure to malaria, co-infection with multiple clones of Plasmodium falciparum can protect against subsequent clinical malaria attacks. Other studies, mainly of individuals with little previous exposure, found the converse relationship. To test whether acquisition of such cross-protection tracks the acquisition of clinical immunity in general, 610 Tanzanian children aged 0-6 years were enrolled in a nine-month prospective study of the risk of morbidity in relation to parasitological status and merozoite surface protein 2 genotypes on enrolment. Prevalence of parasitaemia and multiplicity of infection increased with age. In the first year of life, the incidence of clinical malaria was almost three times higher in children with parasites at baseline than in those without. In older children, baseline P. falciparum infections appeared to protect against both parasitaemic and non-parasitaemic fever episodes. In children aged less than three years, baseline multiple infection tended to be associated with higher prospective risk of clinical malaria than single infection while in children aged more than three years the converse was found, but these effects were not statistically significant. These results provide further evidence that relationships between asymptomatic malaria infections and clinical malaria change with cumulative exposure. © 2004 Royal Society of Tropical Medicine and Hygiene. Published by Elsevier Ltd. All rights reserved.","author":[{"dropping-particle":"","family":"Henning","given":"L.","non-dropping-particle":"","parse-names":false,"suffix":""},{"dropping-particle":"","family":"Schellenberg","given":"D","non-dropping-particle":"","parse-names":false,"suffix":""},{"dropping-particle":"","family":"Smith","given":"T","non-dropping-particle":"","parse-names":false,"suffix":""},{"dropping-particle":"","family":"Henning","given":"D","non-dropping-particle":"","parse-names":false,"suffix":""},{"dropping-particle":"","family":"Alonso","given":"P","non-dropping-particle":"","parse-names":false,"suffix":""},{"dropping-particle":"","family":"Tanner","given":"M","non-dropping-particle":"","parse-names":false,"suffix":""},{"dropping-particle":"","family":"Mshinda","given":"H","non-dropping-particle":"","parse-names":false,"suffix":""},{"dropping-particle":"","family":"Beck","given":"H. P.","non-dropping-particle":"","parse-names":false,"suffix":""},{"dropping-particle":"","family":"Felger","given":"Ingrid","non-dropping-particle":"","parse-names":false,"suffix":""}],"container-title":"Transactions of the Royal Society of Tropical Medicine and Hygiene","id":"ITEM-5","issue":"12","issued":{"date-parts":[["2004"]]},"page":"687-694","title":"A prospective study of Plasmodium falciparum multiplicity of infection and morbidity in Tanzanian children","type":"article-journal","volume":"98"},"uris":["http://www.mendeley.com/documents/?uuid=aa3f38d7-2d72-3a59-96b1-3d8990d436b5"]},{"id":"ITEM-6","itemData":{"DOI":"10.1371/journal.pone.0016940","ISBN":"1932-6203","ISSN":"19326203","PMID":"21383984","abstract":"Protective immunity to malaria is acquired after repeated infections in endemic areas. Asymptomatic multiclonal P. falciparum infections are common and may predict host protection. Here, we have investigated the effect of clearing asymptomatic infections on the risk of clinical malaria.","author":[{"dropping-particle":"","family":"Liljander","given":"Anne","non-dropping-particle":"","parse-names":false,"suffix":""},{"dropping-particle":"","family":"Bejon","given":"Philip","non-dropping-particle":"","parse-names":false,"suffix":""},{"dropping-particle":"","family":"Mwacharo","given":"Jedidah","non-dropping-particle":"","parse-names":false,"suffix":""},{"dropping-particle":"","family":"Kai","given":"Oscar","non-dropping-particle":"","parse-names":false,"suffix":""},{"dropping-particle":"","family":"Ogada","given":"Edna","non-dropping-particle":"","parse-names":false,"suffix":""},{"dropping-particle":"","family":"Peshu","given":"Norbert","non-dropping-particle":"","parse-names":false,"suffix":""},{"dropping-particle":"","family":"Marsh","given":"Kevin","non-dropping-particle":"","parse-names":false,"suffix":""},{"dropping-particle":"","family":"Färnert","given":"Anna","non-dropping-particle":"","parse-names":false,"suffix":""}],"container-title":"PLoS ONE","id":"ITEM-6","issue":"2","issued":{"date-parts":[["2011"]]},"title":"Clearance of asymptomatic P. falciparum infections interacts with the number of clones to predict the risk of subsequent malaria in Kenyan children","type":"article-journal","volume":"6"},"uris":["http://www.mendeley.com/documents/?uuid=80390377-1595-39eb-9503-c72cb39f1404"]},{"id":"ITEM-7","itemData":{"DOI":"10.1093/infdis/jiy591","ISSN":"0022-1899","PMID":"30307567","abstract":"Background Plasmodium falciparum infections lead to febrile illness unless the host has sufficient immunity, in which case infection may cause no immediate symptoms (i.e. \"asymptomatic parasitaemia\"). Previous studies are conflicting on the role of asymptomatic parasitemia in determining the risk of developing febrile malaria. Methods We monitored 2,513 children living in Kilifi (Kenyan Coast) with blood smears in 17 cross-sectional surveys to identify asymptomatic parasitemia and used active surveillance over 11,325 child-years of follow up to detect febrile malaria. We evaluated the interaction between transmission intensity, age and asymptomatic parasitaemia in determining the risk of developing febrile malaria. Results In the moderate and high transmission intensity settings, asymptomatic parasitaemia was associated with a reduced risk of febrile malaria in older children (&gt; 3 years), while in the lower transmission setting, asymptomatic parasitaemia was associated with an increased risk of febrile malaria in children of all ages. Additionally, the risk associated with asymptomatic parasitaemia was limited to the first 90 days of follow up. Conclusions Asymptomatic parasitaemia is modified by transmission intensity and age, altering the risk of developing febrile episodes and suggesting that host immunity plays a prominent role in mediating this process.","author":[{"dropping-particle":"","family":"Wamae","given":"Kevin","non-dropping-particle":"","parse-names":false,"suffix":""},{"dropping-particle":"","family":"Wambua","given":"Juliana","non-dropping-particle":"","parse-names":false,"suffix":""},{"dropping-particle":"","family":"Nyangweso","given":"George","non-dropping-particle":"","parse-names":false,"suffix":""},{"dropping-particle":"","family":"Mwambingu","given":"Gabriel","non-dropping-particle":"","parse-names":false,"suffix":""},{"dropping-particle":"","family":"Osier","given":"Faith","non-dropping-particle":"","parse-names":false,"suffix":""},{"dropping-particle":"","family":"Ndung’u","given":"Francis","non-dropping-particle":"","parse-names":false,"suffix":""},{"dropping-particle":"","family":"Bejon","given":"Philip","non-dropping-particle":"","parse-names":false,"suffix":""},{"dropping-particle":"","family":"Ochola-Oyier","given":"Lynette Isabella","non-dropping-particle":"","parse-names":false,"suffix":""}],"container-title":"The Journal of Infectious Diseases","id":"ITEM-7","issued":{"date-parts":[["2018"]]},"title":"Transmission and Age Impact the Risk of Developing Febrile Malaria in Children with Asymptomatic Plasmodium falciparum Parasitemia","type":"article-journal"},"uris":["http://www.mendeley.com/documents/?uuid=86c17ed0-7024-35d1-a8f2-1917ec5dc59d"]},{"id":"ITEM-8","itemData":{"DOI":"10.1086/421281","ISBN":"0022-1899 (Print)","ISSN":"0022-1899","PMID":"15181569","abstract":"We assessed the prevalence and natural history of malarial parasitemia by use of microscopy and polymerase chain reaction (PCR) in 314 asymptomatic children in Kampala, Uganda. The prevalence of asymptomatic parasitemia was 17% by microscopy and 47% by PCR. Children with parasitemia identified by microscopy had a 5-fold higher rate of subsequent symptomatic malaria, compared with children without detectable parasitemia. Children with parasitemia identified by PCR alone had a similar rate of subsequent symptomatic malaria, compared with children without detectable parasitemia. Among microscopy-positive children who later developed symptomatic malaria, 47% had strains identical to those identified at enrollment, and the proportion of symptomatic episodes due to persistent strains remained high for 3 months. Among the PCR-positive/microscopy-negative children, only 17% had identical genotyping patterns at the onset of symptomatic malaria, with most of these episodes occurring during the first month. Asymptomatic parasitemia detected by microscopy, but not by PCR, strongly predicted subsequent clinical malaria, often due to persistent infection.","author":[{"dropping-particle":"","family":"Nsobya","given":"Sammuel L.","non-dropping-particle":"","parse-names":false,"suffix":""},{"dropping-particle":"","family":"Parikh","given":"Sunil","non-dropping-particle":"","parse-names":false,"suffix":""},{"dropping-particle":"","family":"Kironde","given":"Fred","non-dropping-particle":"","parse-names":false,"suffix":""},{"dropping-particle":"","family":"Lubega","given":"George","non-dropping-particle":"","parse-names":false,"suffix":""},{"dropping-particle":"","family":"Kamya","given":"Moses R.","non-dropping-particle":"","parse-names":false,"suffix":""},{"dropping-particle":"","family":"Rosenthal","given":"Philip J.","non-dropping-particle":"","parse-names":false,"suffix":""},{"dropping-particle":"","family":"Dorsey","given":"Grant","non-dropping-particle":"","parse-names":false,"suffix":""}],"container-title":"The Journal of Infectious Diseases","id":"ITEM-8","issue":"12","issued":{"date-parts":[["2004"]]},"page":"2220-2226","title":"Molecular Evaluation of the Natural History of Asymptomatic Parasitemia in Ugandan Children","type":"article-journal","volume":"189"},"uris":["http://www.mendeley.com/documents/?uuid=bfd3c1dc-14c2-3dd3-bb99-ea8db0805ff7"]},{"id":"ITEM-9","itemData":{"DOI":"10.1086/526529","ISBN":"1537-6591 (Electronic)\\r1058-4838 (Linking)","ISSN":"1058-4838","PMID":"18199040","abstract":"Background. In areas of seasonal malaria transmission, long</w:instrText>
            </w:r>
            <w:r>
              <w:rPr>
                <w:rFonts w:ascii="Cambria Math" w:hAnsi="Cambria Math" w:cs="Cambria Math"/>
                <w:sz w:val="20"/>
                <w:szCs w:val="20"/>
              </w:rPr>
              <w:instrText>‐</w:instrText>
            </w:r>
            <w:r>
              <w:rPr>
                <w:rFonts w:ascii="Arial" w:hAnsi="Arial" w:cs="Arial"/>
                <w:sz w:val="20"/>
                <w:szCs w:val="20"/>
              </w:rPr>
              <w:instrText>term asymptomatic carriage of Plasmodium falciparum throughout the dry season has been primarily studied in terms of the parasites, and the clinical consequences of persistent parasite carriage are unknown. Methods. A prospective study was conducted in Senegal, from 2001 through 2003 among 1356 children living in areas where malaria is endemic, with seasonal transmission occurring from August through December. Cross</w:instrText>
            </w:r>
            <w:r>
              <w:rPr>
                <w:rFonts w:ascii="Cambria Math" w:hAnsi="Cambria Math" w:cs="Cambria Math"/>
                <w:sz w:val="20"/>
                <w:szCs w:val="20"/>
              </w:rPr>
              <w:instrText>‐</w:instrText>
            </w:r>
            <w:r>
              <w:rPr>
                <w:rFonts w:ascii="Arial" w:hAnsi="Arial" w:cs="Arial"/>
                <w:sz w:val="20"/>
                <w:szCs w:val="20"/>
              </w:rPr>
              <w:instrText xml:space="preserve">sectional parasitological measurements and detection of active malaria attacks were performed. A malaria attack was defined as an axillary temperature </w:instrText>
            </w:r>
            <w:r>
              <w:rPr>
                <w:rFonts w:ascii="Cambria Math" w:hAnsi="Cambria Math" w:cs="Cambria Math"/>
                <w:sz w:val="20"/>
                <w:szCs w:val="20"/>
              </w:rPr>
              <w:instrText>⩾</w:instrText>
            </w:r>
            <w:r>
              <w:rPr>
                <w:rFonts w:ascii="Arial" w:hAnsi="Arial" w:cs="Arial"/>
                <w:sz w:val="20"/>
                <w:szCs w:val="20"/>
              </w:rPr>
              <w:instrText>37.5°C, associated with a parasite density &gt;2500 trophozoites/μL. Children harboring P. falciparum in June who did not have clinical signs were defined as asymptomatic carriers. The association of asymptomatic carriage with parasite densities and with the occurrence of malaria attacks during the rainy season were analyzed separately for the years 2002 and 2003, taking into account potential confounding covariates and use of antimalarial drugs. Results. The prevalence of asymptomatic carriage was 32% (332 of 1025 persons) in June 2002 and 23% (208 of 912 persons) in June 2003. Asymptomatic P. falciparum carriers had a significantly higher mean parasite density and a significantly lower probability of developing a malaria attack during the subsequent rainy season than did noncarriers (adjusted odds ratio in 2002, 0.56; $P=.01$ ; adjusted odds ratio in 2003, 0.50; $P=.01$ ). Conclusions. These results suggest that in areas of seasonal transmission, asymptomatic carriage of P. falciparum may protect against clinical malaria. Further studies are needed to understand the immune effectors and host susceptibility that could be involved in this phenomenon.","author":[{"dropping-particle":"","family":"Males","given":"Sylvia","non-dropping-particle":"","parse-names":false,"suffix":""},{"dropping-particle":"","family":"Gaye","given":"Oumar","non-dropping-particle":"","parse-names":false,"suffix":""},{"dropping-particle":"","family":"Garcia","given":"André","non-dropping-particle":"","parse-names":false,"suffix":""}],"container-title":"Clinical Infectious Diseases","id":"ITEM-9","issue":"4","issued":{"date-parts":[["2008"]]},"page":"516-522","title":"Long-Term Asymptomatic Carriage of Plasmodium falciparum Protects from Malaria Attacks: a Prospective Study among Senegalese Children","type":"article-journal","volume":"46"},"uris":["http://www.mendeley.com/documents/?uuid=d31b5444-a886-3747-a95b-e395e5691e03"]}],"mendeley":{"formattedCitation":"(Henning et al., 2004; Le Port et al., 2008; Liljander et al., 2011; Males et al., 2008; Njama-Meya et al., 2004; Nsobya et al., 2004; Portugal et al., 2017; Sonden et al., 2015; Wamae et al., 2018)","plainTextFormattedCitation":"(Henning et al., 2004; Le Port et al., 2008; Liljander et al., 2011; Males et al., 2008; Njama-Meya et al., 2004; Nsobya et al., 2004; Portugal et al., 2017; Sonden et al., 2015; Wamae et al., 2018)","previouslyFormattedCitation":"&lt;sup&gt;1–9&lt;/sup&gt;"},"properties":{"noteIndex":0},"schema":"https://github.com/citation-style-language/schema/raw/master/csl-citation.json"}</w:instrText>
            </w:r>
            <w:r>
              <w:rPr>
                <w:rFonts w:ascii="Arial" w:hAnsi="Arial" w:cs="Arial"/>
                <w:sz w:val="20"/>
                <w:szCs w:val="20"/>
              </w:rPr>
              <w:fldChar w:fldCharType="separate"/>
            </w:r>
            <w:r w:rsidRPr="001F2C13">
              <w:rPr>
                <w:rFonts w:ascii="Arial" w:hAnsi="Arial" w:cs="Arial"/>
                <w:noProof/>
                <w:sz w:val="20"/>
                <w:szCs w:val="20"/>
              </w:rPr>
              <w:t>(Henning et al., 2004; Le Port et al., 2008; Liljander et al., 2011; Males et al., 2008; Njama-Meya et al., 2004; Nsobya et al., 2004; Portugal et al., 2017; Sonden et al., 2015; Wamae et al., 2018)</w:t>
            </w:r>
            <w:r>
              <w:rPr>
                <w:rFonts w:ascii="Arial" w:hAnsi="Arial" w:cs="Arial"/>
                <w:sz w:val="20"/>
                <w:szCs w:val="20"/>
              </w:rPr>
              <w:fldChar w:fldCharType="end"/>
            </w:r>
          </w:p>
        </w:tc>
      </w:tr>
      <w:tr w:rsidR="00787EF9" w:rsidRPr="0095177F" w14:paraId="796FD067" w14:textId="77777777" w:rsidTr="006249F0">
        <w:trPr>
          <w:trHeight w:val="568"/>
        </w:trPr>
        <w:tc>
          <w:tcPr>
            <w:tcW w:w="2593" w:type="dxa"/>
            <w:tcBorders>
              <w:top w:val="single" w:sz="4" w:space="0" w:color="auto"/>
              <w:left w:val="nil"/>
              <w:bottom w:val="single" w:sz="4" w:space="0" w:color="auto"/>
              <w:right w:val="nil"/>
            </w:tcBorders>
            <w:vAlign w:val="center"/>
          </w:tcPr>
          <w:p w14:paraId="29149F97" w14:textId="77777777" w:rsidR="00787EF9" w:rsidRPr="00266639" w:rsidRDefault="00787EF9" w:rsidP="006249F0">
            <w:pPr>
              <w:widowControl w:val="0"/>
              <w:rPr>
                <w:rFonts w:ascii="Arial" w:hAnsi="Arial" w:cs="Arial"/>
                <w:b/>
                <w:sz w:val="20"/>
                <w:szCs w:val="20"/>
              </w:rPr>
            </w:pPr>
            <w:r w:rsidRPr="00266639">
              <w:rPr>
                <w:rFonts w:ascii="Arial" w:hAnsi="Arial" w:cs="Arial"/>
                <w:b/>
                <w:sz w:val="20"/>
                <w:szCs w:val="20"/>
              </w:rPr>
              <w:t xml:space="preserve">Allow participants to change exposure group over follow-up </w:t>
            </w:r>
          </w:p>
        </w:tc>
        <w:tc>
          <w:tcPr>
            <w:tcW w:w="2717" w:type="dxa"/>
            <w:tcBorders>
              <w:top w:val="single" w:sz="4" w:space="0" w:color="auto"/>
              <w:left w:val="nil"/>
              <w:bottom w:val="single" w:sz="4" w:space="0" w:color="auto"/>
              <w:right w:val="nil"/>
            </w:tcBorders>
            <w:vAlign w:val="center"/>
          </w:tcPr>
          <w:p w14:paraId="173B2F76" w14:textId="77777777" w:rsidR="00787EF9" w:rsidRDefault="00787EF9" w:rsidP="006249F0">
            <w:pPr>
              <w:widowControl w:val="0"/>
              <w:rPr>
                <w:rFonts w:ascii="Arial" w:hAnsi="Arial" w:cs="Arial"/>
                <w:sz w:val="20"/>
                <w:szCs w:val="20"/>
              </w:rPr>
            </w:pPr>
            <w:r>
              <w:rPr>
                <w:rFonts w:ascii="Arial" w:hAnsi="Arial" w:cs="Arial"/>
                <w:sz w:val="20"/>
                <w:szCs w:val="20"/>
              </w:rPr>
              <w:t>Exposure is reassessed for participants over time and summarized as the number of months exposed</w:t>
            </w:r>
          </w:p>
        </w:tc>
        <w:tc>
          <w:tcPr>
            <w:tcW w:w="3358" w:type="dxa"/>
            <w:tcBorders>
              <w:top w:val="single" w:sz="4" w:space="0" w:color="auto"/>
              <w:left w:val="nil"/>
              <w:bottom w:val="single" w:sz="4" w:space="0" w:color="auto"/>
              <w:right w:val="nil"/>
            </w:tcBorders>
            <w:vAlign w:val="center"/>
          </w:tcPr>
          <w:p w14:paraId="54987FE8" w14:textId="77777777" w:rsidR="00787EF9" w:rsidRPr="0095177F" w:rsidRDefault="00787EF9" w:rsidP="006249F0">
            <w:pPr>
              <w:widowControl w:val="0"/>
              <w:rPr>
                <w:rFonts w:ascii="Arial" w:hAnsi="Arial" w:cs="Arial"/>
                <w:sz w:val="20"/>
                <w:szCs w:val="20"/>
              </w:rPr>
            </w:pPr>
            <w:r>
              <w:rPr>
                <w:rFonts w:ascii="Arial" w:hAnsi="Arial" w:cs="Arial"/>
                <w:sz w:val="20"/>
                <w:szCs w:val="20"/>
              </w:rPr>
              <w:t>Can have issues with left truncation bias for exposures that began before the study, as occurred in our study where participants could have been infected with asymptomatic malaria at baseline</w:t>
            </w:r>
          </w:p>
        </w:tc>
      </w:tr>
      <w:tr w:rsidR="00787EF9" w:rsidRPr="0095177F" w14:paraId="7B5CE50F" w14:textId="77777777" w:rsidTr="006249F0">
        <w:trPr>
          <w:trHeight w:val="568"/>
        </w:trPr>
        <w:tc>
          <w:tcPr>
            <w:tcW w:w="2593" w:type="dxa"/>
            <w:tcBorders>
              <w:top w:val="single" w:sz="4" w:space="0" w:color="auto"/>
              <w:left w:val="nil"/>
              <w:bottom w:val="single" w:sz="4" w:space="0" w:color="auto"/>
              <w:right w:val="nil"/>
            </w:tcBorders>
            <w:vAlign w:val="center"/>
          </w:tcPr>
          <w:p w14:paraId="519AF98D" w14:textId="77777777" w:rsidR="00787EF9" w:rsidRPr="00266639" w:rsidRDefault="00787EF9" w:rsidP="006249F0">
            <w:pPr>
              <w:widowControl w:val="0"/>
              <w:rPr>
                <w:rFonts w:ascii="Arial" w:hAnsi="Arial" w:cs="Arial"/>
                <w:b/>
                <w:sz w:val="20"/>
                <w:szCs w:val="20"/>
              </w:rPr>
            </w:pPr>
            <w:r w:rsidRPr="00266639">
              <w:rPr>
                <w:rFonts w:ascii="Arial" w:hAnsi="Arial" w:cs="Arial"/>
                <w:b/>
                <w:sz w:val="20"/>
                <w:szCs w:val="20"/>
              </w:rPr>
              <w:t>Ever-never approach</w:t>
            </w:r>
          </w:p>
        </w:tc>
        <w:tc>
          <w:tcPr>
            <w:tcW w:w="2717" w:type="dxa"/>
            <w:tcBorders>
              <w:top w:val="single" w:sz="4" w:space="0" w:color="auto"/>
              <w:left w:val="nil"/>
              <w:bottom w:val="single" w:sz="4" w:space="0" w:color="auto"/>
              <w:right w:val="nil"/>
            </w:tcBorders>
            <w:vAlign w:val="center"/>
          </w:tcPr>
          <w:p w14:paraId="4164730F" w14:textId="77777777" w:rsidR="00787EF9" w:rsidRDefault="00787EF9" w:rsidP="006249F0">
            <w:pPr>
              <w:widowControl w:val="0"/>
              <w:rPr>
                <w:rFonts w:ascii="Arial" w:hAnsi="Arial" w:cs="Arial"/>
                <w:sz w:val="20"/>
                <w:szCs w:val="20"/>
              </w:rPr>
            </w:pPr>
            <w:r>
              <w:rPr>
                <w:rFonts w:ascii="Arial" w:hAnsi="Arial" w:cs="Arial"/>
                <w:sz w:val="20"/>
                <w:szCs w:val="20"/>
              </w:rPr>
              <w:t>Classify participant as exposed if were ever exposed during follow-up period</w:t>
            </w:r>
          </w:p>
        </w:tc>
        <w:tc>
          <w:tcPr>
            <w:tcW w:w="3358" w:type="dxa"/>
            <w:tcBorders>
              <w:top w:val="single" w:sz="4" w:space="0" w:color="auto"/>
              <w:left w:val="nil"/>
              <w:bottom w:val="single" w:sz="4" w:space="0" w:color="auto"/>
              <w:right w:val="nil"/>
            </w:tcBorders>
            <w:vAlign w:val="center"/>
          </w:tcPr>
          <w:p w14:paraId="459EE250" w14:textId="77777777" w:rsidR="00787EF9" w:rsidRPr="0095177F" w:rsidRDefault="00787EF9" w:rsidP="006249F0">
            <w:pPr>
              <w:widowControl w:val="0"/>
              <w:rPr>
                <w:rFonts w:ascii="Arial" w:hAnsi="Arial" w:cs="Arial"/>
                <w:sz w:val="20"/>
                <w:szCs w:val="20"/>
              </w:rPr>
            </w:pPr>
            <w:r>
              <w:rPr>
                <w:rFonts w:ascii="Arial" w:hAnsi="Arial" w:cs="Arial"/>
                <w:sz w:val="20"/>
                <w:szCs w:val="20"/>
              </w:rPr>
              <w:t xml:space="preserve">Many issues with misclassification and “look-back” bias; Buchwald </w:t>
            </w:r>
            <w:r w:rsidRPr="00897716">
              <w:rPr>
                <w:rFonts w:ascii="Arial" w:hAnsi="Arial" w:cs="Arial"/>
                <w:i/>
                <w:iCs/>
                <w:sz w:val="20"/>
                <w:szCs w:val="20"/>
              </w:rPr>
              <w:t>et al.</w:t>
            </w:r>
            <w:r>
              <w:rPr>
                <w:rFonts w:ascii="Arial" w:hAnsi="Arial" w:cs="Arial"/>
                <w:i/>
                <w:iCs/>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{"citationItems":[{"id":"ITEM-1","itemData":{"DOI":"10.1093/cid/ciy427","ISSN":"1058-4838","abstract":"Background:Asymptomatic Plasmodium falciparum infections are common in Malawi, however, the implications of these infections for the burden of malaria illness are unknown. Whether asymptomatic infections eventually progress to malaria illness, persist without causing symptoms, or clear spontaneously remains undetermined. We identified asymptomatic infections and evaluated the associations between persistent asymptomatic infections and malaria illness. Methods:Children and adults (N = 120) who presented at a health facility with uncomplicated malaria were followed monthly for two years. During follow-up visits, participants with malaria symptoms were tested and treated if positive. Samples from all visits were tested for parasites using both microscopy and PCR, and all malaria infections underwent genotyping. Cox frailty models were used to estimate the temporal association between asymptomatic infections and malaria illness episodes. Mixed models were used to estimate the odds of clinical symptoms associated with new versus persistent infections. Results:Participants had a median follow-up time of 720 days. Asymptomatic infections were detected during 23% of visits. Persistent asymptomatic infections were associated with decreased risk of malaria illness in all ages (HR 0.50, p &lt; 0.001). When asymptomatic infections preceded malaria illness, newly acquired infections were detected at 92% of subsequent clinical episodes, independent of presence of persistent infections. Malaria illness among children was more likely due to newly acquired infections (OR 1.4, 95%CI 1.3-1.5) than to persistent infections. Conclusions:Asymptomatic P. falciparum infections are associated with decreased incidence of malaria illness but do not protect against disease when new infection occurs.","author":[{"dropping-particle":"","family":"Buchwald","given":"Andrea G","non-dropping-particle":"","parse-names":false,"suffix":""},{"dropping-particle":"","family":"Sixpence","given":"Alick","non-dropping-particle":"","parse-names":false,"suffix":""},{"dropping-particle":"","family":"Chimenya","given":"Mabvuto","non-dropping-particle":"","parse-names":false,"suffix":""},{"dropping-particle":"","family":"Damson","given":"Milius","non-dropping-particle":"","parse-names":false,"suffix":""},{"dropping-particle":"","family":"Sorkin","given":"John D","non-dropping-particle":"","parse-names":false,"suffix":""},{"dropping-particle":"","family":"Wilson","given":"Mark L","non-dropping-particle":"","parse-names":false,"suffix":""},{"dropping-particle":"","family":"Seydel","given":"Karl","non-dropping-particle":"","parse-names":false,"suffix":""},{"dropping-particle":"","family":"Hochman","given":"Sarah","non-dropping-particle":"","parse-names":false,"suffix":""},{"dropping-particle":"","family":"Mathanga","given":"Don P","non-dropping-particle":"","parse-names":false,"suffix":""},{"dropping-particle":"","family":"Taylor","given":"Terrie E","non-dropping-particle":"","parse-names":false,"suffix":""},{"dropping-particle":"","family":"Laufer","given":"Miriam K","non-dropping-particle":"","parse-names":false,"suffix":""}],"container-title":"Clinical Infectious Diseases","id":"ITEM-1","issue":"1","issued":{"date-parts":[["2019"]]},"page":"106-112","title":"Clinical Implications of Asymptomatic Plasmodium falciparum Infections in Malawi","type":"article-journal","volume":"21201"},"uris":["http://www.mendeley.com/documents/?uuid=db3ce827-383e-4d4c-9242-4efb2e81b893"]}],"mendeley":{"formattedCitation":"(Buchwald et al., 2019)","plainTextFormattedCitation":"(Buchwald et al., 2019)","previouslyFormattedCitation":"&lt;sup&gt;10&lt;/sup&gt;"},"properties":{"noteIndex":0},"schema":"https://github.com/citation-style-language/schema/raw/master/csl-citation.json"}</w:instrText>
            </w:r>
            <w:r>
              <w:rPr>
                <w:rFonts w:ascii="Arial" w:hAnsi="Arial" w:cs="Arial"/>
                <w:sz w:val="20"/>
                <w:szCs w:val="20"/>
              </w:rPr>
              <w:fldChar w:fldCharType="separate"/>
            </w:r>
            <w:r w:rsidRPr="001F2C13">
              <w:rPr>
                <w:rFonts w:ascii="Arial" w:hAnsi="Arial" w:cs="Arial"/>
                <w:noProof/>
                <w:sz w:val="20"/>
                <w:szCs w:val="20"/>
              </w:rPr>
              <w:t>(Buchwald et al., 2019)</w:t>
            </w:r>
            <w:r>
              <w:rPr>
                <w:rFonts w:ascii="Arial" w:hAnsi="Arial" w:cs="Arial"/>
                <w:sz w:val="20"/>
                <w:szCs w:val="20"/>
              </w:rPr>
              <w:fldChar w:fldCharType="end"/>
            </w:r>
            <w:r>
              <w:rPr>
                <w:rFonts w:ascii="Arial" w:hAnsi="Arial" w:cs="Arial"/>
                <w:sz w:val="20"/>
                <w:szCs w:val="20"/>
              </w:rPr>
              <w:t xml:space="preserve"> did a modified version of this where participants were classified as unexposed until an asymptomatic infection occurred then classified as exposed for the remaining period afterward</w:t>
            </w:r>
          </w:p>
        </w:tc>
      </w:tr>
      <w:tr w:rsidR="00787EF9" w:rsidRPr="0095177F" w14:paraId="5D3D0022" w14:textId="77777777" w:rsidTr="006249F0">
        <w:trPr>
          <w:trHeight w:val="423"/>
        </w:trPr>
        <w:tc>
          <w:tcPr>
            <w:tcW w:w="2593" w:type="dxa"/>
            <w:tcBorders>
              <w:top w:val="single" w:sz="4" w:space="0" w:color="auto"/>
              <w:left w:val="nil"/>
              <w:bottom w:val="single" w:sz="4" w:space="0" w:color="auto"/>
              <w:right w:val="nil"/>
            </w:tcBorders>
            <w:vAlign w:val="center"/>
          </w:tcPr>
          <w:p w14:paraId="35CC7406" w14:textId="77777777" w:rsidR="00787EF9" w:rsidRPr="00266639" w:rsidRDefault="00787EF9" w:rsidP="006249F0">
            <w:pPr>
              <w:widowControl w:val="0"/>
              <w:rPr>
                <w:rFonts w:ascii="Arial" w:hAnsi="Arial" w:cs="Arial"/>
                <w:b/>
                <w:sz w:val="20"/>
                <w:szCs w:val="20"/>
              </w:rPr>
            </w:pPr>
            <w:proofErr w:type="spellStart"/>
            <w:r w:rsidRPr="00266639">
              <w:rPr>
                <w:rFonts w:ascii="Arial" w:hAnsi="Arial" w:cs="Arial"/>
                <w:b/>
                <w:sz w:val="20"/>
                <w:szCs w:val="20"/>
              </w:rPr>
              <w:t>Hernán</w:t>
            </w:r>
            <w:proofErr w:type="spellEnd"/>
            <w:r w:rsidRPr="00266639">
              <w:rPr>
                <w:rFonts w:ascii="Arial" w:hAnsi="Arial" w:cs="Arial"/>
                <w:b/>
                <w:sz w:val="20"/>
                <w:szCs w:val="20"/>
              </w:rPr>
              <w:t xml:space="preserve"> </w:t>
            </w:r>
            <w:r w:rsidRPr="00A10CDC">
              <w:rPr>
                <w:rFonts w:ascii="Arial" w:hAnsi="Arial" w:cs="Arial"/>
                <w:b/>
                <w:i/>
                <w:iCs/>
                <w:sz w:val="20"/>
                <w:szCs w:val="20"/>
              </w:rPr>
              <w:t>et al.</w:t>
            </w:r>
            <w:r w:rsidRPr="00266639">
              <w:rPr>
                <w:rFonts w:ascii="Arial" w:hAnsi="Arial" w:cs="Arial"/>
                <w:b/>
                <w:sz w:val="20"/>
                <w:szCs w:val="20"/>
              </w:rPr>
              <w:t xml:space="preserve"> multiple month method</w:t>
            </w:r>
            <w:r w:rsidRPr="00266639">
              <w:rPr>
                <w:rFonts w:ascii="Arial" w:hAnsi="Arial" w:cs="Arial"/>
                <w:b/>
                <w:sz w:val="20"/>
                <w:szCs w:val="20"/>
              </w:rPr>
              <w:fldChar w:fldCharType="begin" w:fldLock="1"/>
            </w:r>
            <w:r>
              <w:rPr>
                <w:rFonts w:ascii="Arial" w:hAnsi="Arial" w:cs="Arial"/>
                <w:b/>
                <w:sz w:val="20"/>
                <w:szCs w:val="20"/>
              </w:rPr>
              <w:instrText>ADDIN CSL_CITATION {"citationItems":[{"id":"ITEM-1","itemData":{"DOI":"10.1111/j.0006-341X.2005.454_6.x","ISSN":"0006341X","author":[{"dropping-particle":"","family":"Hernán","given":"Miguel A.","non-dropping-particle":"","parse-names":false,"suffix":""},{"dropping-particle":"","family":"Robins","given":"James M.","non-dropping-particle":"","parse-names":false,"suffix":""},{"dropping-particle":"","family":"García Rodríguez","given":"Luis A.","non-dropping-particle":"","parse-names":false,"suffix":""}],"container-title":"Biometrics","id":"ITEM-1","issue":"4","issued":{"date-parts":[["2005"]]},"page":"922-930","title":"Discussion on \"statistical issues arising in the Women's Health Initiative\"","type":"article-journal","volume":"61"},"uris":["http://www.mendeley.com/documents/?uuid=ace69336-61dd-4d44-b21f-3064328ff610"]}],"mendeley":{"formattedCitation":"(Hernán et al., 2005)","plainTextFormattedCitation":"(Hernán et al., 2005)","previouslyFormattedCitation":"&lt;sup&gt;11&lt;/sup&gt;"},"properties":{"noteIndex":0},"schema":"https://github.com/citation-style-language/schema/raw/master/csl-citation.json"}</w:instrText>
            </w:r>
            <w:r w:rsidRPr="00266639">
              <w:rPr>
                <w:rFonts w:ascii="Arial" w:hAnsi="Arial" w:cs="Arial"/>
                <w:b/>
                <w:sz w:val="20"/>
                <w:szCs w:val="20"/>
              </w:rPr>
              <w:fldChar w:fldCharType="separate"/>
            </w:r>
            <w:r w:rsidRPr="001F2C13">
              <w:rPr>
                <w:rFonts w:ascii="Arial" w:hAnsi="Arial" w:cs="Arial"/>
                <w:noProof/>
                <w:sz w:val="20"/>
                <w:szCs w:val="20"/>
              </w:rPr>
              <w:t>(Hernán et al., 2005)</w:t>
            </w:r>
            <w:r w:rsidRPr="00266639">
              <w:rPr>
                <w:rFonts w:ascii="Arial" w:hAnsi="Arial" w:cs="Arial"/>
                <w:b/>
                <w:sz w:val="20"/>
                <w:szCs w:val="20"/>
              </w:rPr>
              <w:fldChar w:fldCharType="end"/>
            </w:r>
          </w:p>
        </w:tc>
        <w:tc>
          <w:tcPr>
            <w:tcW w:w="2717" w:type="dxa"/>
            <w:tcBorders>
              <w:top w:val="single" w:sz="4" w:space="0" w:color="auto"/>
              <w:left w:val="nil"/>
              <w:bottom w:val="single" w:sz="4" w:space="0" w:color="auto"/>
              <w:right w:val="nil"/>
            </w:tcBorders>
            <w:vAlign w:val="center"/>
          </w:tcPr>
          <w:p w14:paraId="7F8BE284" w14:textId="77777777" w:rsidR="00787EF9" w:rsidRPr="0095177F" w:rsidRDefault="00787EF9" w:rsidP="006249F0">
            <w:pPr>
              <w:widowControl w:val="0"/>
              <w:rPr>
                <w:rFonts w:ascii="Arial" w:hAnsi="Arial" w:cs="Arial"/>
                <w:sz w:val="20"/>
                <w:szCs w:val="20"/>
              </w:rPr>
            </w:pPr>
            <w:r>
              <w:rPr>
                <w:rFonts w:ascii="Arial" w:hAnsi="Arial" w:cs="Arial"/>
                <w:sz w:val="20"/>
                <w:szCs w:val="20"/>
              </w:rPr>
              <w:t>Modified version of intention-to-treat where each month was treated as a baseline for follow-up; The exposure status of each monthly visit was applied to the subsequent follow-up period</w:t>
            </w:r>
          </w:p>
        </w:tc>
        <w:tc>
          <w:tcPr>
            <w:tcW w:w="3358" w:type="dxa"/>
            <w:tcBorders>
              <w:top w:val="single" w:sz="4" w:space="0" w:color="auto"/>
              <w:left w:val="nil"/>
              <w:bottom w:val="single" w:sz="4" w:space="0" w:color="auto"/>
              <w:right w:val="nil"/>
            </w:tcBorders>
            <w:vAlign w:val="center"/>
          </w:tcPr>
          <w:p w14:paraId="347DE813" w14:textId="77777777" w:rsidR="00787EF9" w:rsidRPr="0095177F" w:rsidRDefault="00787EF9" w:rsidP="006249F0">
            <w:pPr>
              <w:widowControl w:val="0"/>
              <w:rPr>
                <w:rFonts w:ascii="Arial" w:hAnsi="Arial" w:cs="Arial"/>
                <w:sz w:val="20"/>
                <w:szCs w:val="20"/>
              </w:rPr>
            </w:pPr>
            <w:r>
              <w:rPr>
                <w:rFonts w:ascii="Arial" w:hAnsi="Arial" w:cs="Arial"/>
                <w:sz w:val="20"/>
                <w:szCs w:val="20"/>
              </w:rPr>
              <w:t>Allows exposure to change over time with more precision than the typical intention-to-treat approach; produces effect estimate that is predictive of future risk regardless of prior exposure so not prone to left truncation bias; some misclassification bias still possible but less than alternative methods</w:t>
            </w:r>
          </w:p>
        </w:tc>
      </w:tr>
    </w:tbl>
    <w:p w14:paraId="083B1363" w14:textId="77777777" w:rsidR="00787EF9" w:rsidRDefault="00787EF9" w:rsidP="00787EF9">
      <w:pPr>
        <w:rPr>
          <w:rFonts w:ascii="Arial" w:hAnsi="Arial" w:cs="Arial"/>
          <w:b/>
          <w:bCs/>
          <w:color w:val="000000"/>
          <w:sz w:val="22"/>
          <w:szCs w:val="22"/>
        </w:rPr>
      </w:pPr>
    </w:p>
    <w:p w14:paraId="5D637A2E" w14:textId="77777777" w:rsidR="00787EF9" w:rsidRDefault="00787EF9" w:rsidP="00787EF9">
      <w:pPr>
        <w:rPr>
          <w:rFonts w:ascii="Arial" w:hAnsi="Arial" w:cs="Arial"/>
          <w:b/>
          <w:bCs/>
          <w:color w:val="000000"/>
          <w:sz w:val="22"/>
          <w:szCs w:val="22"/>
        </w:rPr>
      </w:pPr>
      <w:r>
        <w:rPr>
          <w:rFonts w:ascii="Arial" w:hAnsi="Arial" w:cs="Arial"/>
          <w:b/>
          <w:bCs/>
          <w:color w:val="000000"/>
          <w:sz w:val="22"/>
          <w:szCs w:val="22"/>
        </w:rPr>
        <w:br w:type="page"/>
      </w:r>
    </w:p>
    <w:p w14:paraId="56089278" w14:textId="4209AD55" w:rsidR="00787EF9" w:rsidRPr="0066154B" w:rsidRDefault="00787EF9" w:rsidP="00787EF9">
      <w:pPr>
        <w:widowControl w:val="0"/>
        <w:rPr>
          <w:rFonts w:ascii="Arial" w:hAnsi="Arial" w:cs="Arial"/>
          <w:sz w:val="22"/>
          <w:szCs w:val="22"/>
        </w:rPr>
      </w:pPr>
    </w:p>
    <w:p w14:paraId="21E7E38E" w14:textId="77777777" w:rsidR="00787EF9" w:rsidRDefault="00787EF9" w:rsidP="00787EF9">
      <w:pPr>
        <w:rPr>
          <w:rFonts w:ascii="Arial" w:hAnsi="Arial" w:cs="Arial"/>
          <w:b/>
          <w:bCs/>
          <w:sz w:val="22"/>
          <w:szCs w:val="22"/>
        </w:rPr>
      </w:pPr>
      <w:r w:rsidRPr="0085735C">
        <w:rPr>
          <w:rFonts w:ascii="Arial" w:hAnsi="Arial" w:cs="Arial"/>
          <w:b/>
          <w:bCs/>
          <w:sz w:val="22"/>
          <w:szCs w:val="22"/>
        </w:rPr>
        <w:t>SUPPLEMENTAL REFERENCES</w:t>
      </w:r>
    </w:p>
    <w:p w14:paraId="58118FE2" w14:textId="77777777" w:rsidR="00787EF9" w:rsidRDefault="00787EF9" w:rsidP="00787EF9">
      <w:pPr>
        <w:rPr>
          <w:rFonts w:ascii="Arial" w:hAnsi="Arial" w:cs="Arial"/>
          <w:b/>
          <w:bCs/>
          <w:sz w:val="22"/>
          <w:szCs w:val="22"/>
        </w:rPr>
      </w:pPr>
    </w:p>
    <w:p w14:paraId="34C9AE03"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Pr>
          <w:rFonts w:ascii="Arial" w:hAnsi="Arial" w:cs="Arial"/>
          <w:b/>
          <w:bCs/>
          <w:sz w:val="22"/>
          <w:szCs w:val="22"/>
        </w:rPr>
        <w:fldChar w:fldCharType="begin" w:fldLock="1"/>
      </w:r>
      <w:r>
        <w:rPr>
          <w:rFonts w:ascii="Arial" w:hAnsi="Arial" w:cs="Arial"/>
          <w:b/>
          <w:bCs/>
          <w:sz w:val="22"/>
          <w:szCs w:val="22"/>
        </w:rPr>
        <w:instrText xml:space="preserve">ADDIN Mendeley Bibliography CSL_BIBLIOGRAPHY </w:instrText>
      </w:r>
      <w:r>
        <w:rPr>
          <w:rFonts w:ascii="Arial" w:hAnsi="Arial" w:cs="Arial"/>
          <w:b/>
          <w:bCs/>
          <w:sz w:val="22"/>
          <w:szCs w:val="22"/>
        </w:rPr>
        <w:fldChar w:fldCharType="separate"/>
      </w:r>
      <w:r w:rsidRPr="00B11537">
        <w:rPr>
          <w:rFonts w:ascii="Arial" w:hAnsi="Arial" w:cs="Arial"/>
          <w:noProof/>
          <w:sz w:val="22"/>
        </w:rPr>
        <w:t xml:space="preserve">1. </w:t>
      </w:r>
      <w:r w:rsidRPr="00B11537">
        <w:rPr>
          <w:rFonts w:ascii="Arial" w:hAnsi="Arial" w:cs="Arial"/>
          <w:noProof/>
          <w:sz w:val="22"/>
        </w:rPr>
        <w:tab/>
        <w:t xml:space="preserve">Njama-Meya D, Kamya MR, Dorsey G. Asymptomatic parasitaemia as a risk factor for symptomatic malaria in a cohort of Ugandan children. </w:t>
      </w:r>
      <w:r w:rsidRPr="00B11537">
        <w:rPr>
          <w:rFonts w:ascii="Arial" w:hAnsi="Arial" w:cs="Arial"/>
          <w:i/>
          <w:iCs/>
          <w:noProof/>
          <w:sz w:val="22"/>
        </w:rPr>
        <w:t>Trop Med Int Heal</w:t>
      </w:r>
      <w:r w:rsidRPr="00B11537">
        <w:rPr>
          <w:rFonts w:ascii="Arial" w:hAnsi="Arial" w:cs="Arial"/>
          <w:noProof/>
          <w:sz w:val="22"/>
        </w:rPr>
        <w:t>. 2004;9(8):862-868. doi:10.1111/j.1365-3156.2004.01277.x</w:t>
      </w:r>
    </w:p>
    <w:p w14:paraId="38258BEC"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2. </w:t>
      </w:r>
      <w:r w:rsidRPr="00B11537">
        <w:rPr>
          <w:rFonts w:ascii="Arial" w:hAnsi="Arial" w:cs="Arial"/>
          <w:noProof/>
          <w:sz w:val="22"/>
        </w:rPr>
        <w:tab/>
        <w:t xml:space="preserve">Le Port A, Cot M, Etard JF, Gaye O, Migot-Nabias F, Garcia A. Relation between Plasmodium falciparum asymptomatic infection and malaria attacks in a cohort of Senegalese children. </w:t>
      </w:r>
      <w:r w:rsidRPr="00B11537">
        <w:rPr>
          <w:rFonts w:ascii="Arial" w:hAnsi="Arial" w:cs="Arial"/>
          <w:i/>
          <w:iCs/>
          <w:noProof/>
          <w:sz w:val="22"/>
        </w:rPr>
        <w:t>Malar J</w:t>
      </w:r>
      <w:r w:rsidRPr="00B11537">
        <w:rPr>
          <w:rFonts w:ascii="Arial" w:hAnsi="Arial" w:cs="Arial"/>
          <w:noProof/>
          <w:sz w:val="22"/>
        </w:rPr>
        <w:t>. 2008;7. doi:10.1186/1475-2875-7-193</w:t>
      </w:r>
    </w:p>
    <w:p w14:paraId="1375A69E"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3. </w:t>
      </w:r>
      <w:r w:rsidRPr="00B11537">
        <w:rPr>
          <w:rFonts w:ascii="Arial" w:hAnsi="Arial" w:cs="Arial"/>
          <w:noProof/>
          <w:sz w:val="22"/>
        </w:rPr>
        <w:tab/>
        <w:t xml:space="preserve">Portugal S, Tran TM, Ongoiba A, Bathily A, Li S, Doumbo S, Skinner J, Doumtabe D, Kone Y, Sangala J, Jain A, Davies DH, Hung C, Liang L, Ricklefs S, Homann MV, Felgner PL, Porcella SF, Färnert A, Doumbo OK, Kayentao K, Greenwood BM, Traore B, Crompton PD. Treatment of chronic asymptomatic plasmodium falciparum infection does not increase the risk of clinical malaria upon reinfection. </w:t>
      </w:r>
      <w:r w:rsidRPr="00B11537">
        <w:rPr>
          <w:rFonts w:ascii="Arial" w:hAnsi="Arial" w:cs="Arial"/>
          <w:i/>
          <w:iCs/>
          <w:noProof/>
          <w:sz w:val="22"/>
        </w:rPr>
        <w:t>Clin Infect Dis</w:t>
      </w:r>
      <w:r w:rsidRPr="00B11537">
        <w:rPr>
          <w:rFonts w:ascii="Arial" w:hAnsi="Arial" w:cs="Arial"/>
          <w:noProof/>
          <w:sz w:val="22"/>
        </w:rPr>
        <w:t>. 2017;64(5):645-653. doi:10.1093/cid/ciw849</w:t>
      </w:r>
    </w:p>
    <w:p w14:paraId="2385B29F"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4. </w:t>
      </w:r>
      <w:r w:rsidRPr="00B11537">
        <w:rPr>
          <w:rFonts w:ascii="Arial" w:hAnsi="Arial" w:cs="Arial"/>
          <w:noProof/>
          <w:sz w:val="22"/>
        </w:rPr>
        <w:tab/>
        <w:t xml:space="preserve">Sonden K, Doumbo S, Hammar U, Vafa Homann M, Ongoiba A, Traord B, Bottai M, Crompton PD, Färnert A. Asymptomatic Multiclonal Plasmodium falciparum Infections Carried Through the Dry Season Predict Protection Against Subsequent Clinical Malaria. </w:t>
      </w:r>
      <w:r w:rsidRPr="00B11537">
        <w:rPr>
          <w:rFonts w:ascii="Arial" w:hAnsi="Arial" w:cs="Arial"/>
          <w:i/>
          <w:iCs/>
          <w:noProof/>
          <w:sz w:val="22"/>
        </w:rPr>
        <w:t>J Infect Dis</w:t>
      </w:r>
      <w:r w:rsidRPr="00B11537">
        <w:rPr>
          <w:rFonts w:ascii="Arial" w:hAnsi="Arial" w:cs="Arial"/>
          <w:noProof/>
          <w:sz w:val="22"/>
        </w:rPr>
        <w:t>. 2015;212(4):608-616. doi:10.1093/infdis/jiv088</w:t>
      </w:r>
    </w:p>
    <w:p w14:paraId="5B225294"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5. </w:t>
      </w:r>
      <w:r w:rsidRPr="00B11537">
        <w:rPr>
          <w:rFonts w:ascii="Arial" w:hAnsi="Arial" w:cs="Arial"/>
          <w:noProof/>
          <w:sz w:val="22"/>
        </w:rPr>
        <w:tab/>
        <w:t xml:space="preserve">Henning L, Schellenberg D, Smith T, Henning D, Alonso P, Tanner M, Mshinda H, Beck HP, Felger I. A prospective study of Plasmodium falciparum multiplicity of infection and morbidity in Tanzanian children. </w:t>
      </w:r>
      <w:r w:rsidRPr="00B11537">
        <w:rPr>
          <w:rFonts w:ascii="Arial" w:hAnsi="Arial" w:cs="Arial"/>
          <w:i/>
          <w:iCs/>
          <w:noProof/>
          <w:sz w:val="22"/>
        </w:rPr>
        <w:t>Trans R Soc Trop Med Hyg</w:t>
      </w:r>
      <w:r w:rsidRPr="00B11537">
        <w:rPr>
          <w:rFonts w:ascii="Arial" w:hAnsi="Arial" w:cs="Arial"/>
          <w:noProof/>
          <w:sz w:val="22"/>
        </w:rPr>
        <w:t>. 2004;98(12):687-694. doi:10.1016/j.trstmh.2004.03.010</w:t>
      </w:r>
    </w:p>
    <w:p w14:paraId="4EC6E948"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6. </w:t>
      </w:r>
      <w:r w:rsidRPr="00B11537">
        <w:rPr>
          <w:rFonts w:ascii="Arial" w:hAnsi="Arial" w:cs="Arial"/>
          <w:noProof/>
          <w:sz w:val="22"/>
        </w:rPr>
        <w:tab/>
        <w:t xml:space="preserve">Liljander A, Bejon P, Mwacharo J, Kai O, Ogada E, Peshu N, Marsh K, Färnert A. Clearance of asymptomatic P. falciparum infections interacts with the number of clones to predict the risk of subsequent malaria in Kenyan children. </w:t>
      </w:r>
      <w:r w:rsidRPr="00B11537">
        <w:rPr>
          <w:rFonts w:ascii="Arial" w:hAnsi="Arial" w:cs="Arial"/>
          <w:i/>
          <w:iCs/>
          <w:noProof/>
          <w:sz w:val="22"/>
        </w:rPr>
        <w:t>PLoS One</w:t>
      </w:r>
      <w:r w:rsidRPr="00B11537">
        <w:rPr>
          <w:rFonts w:ascii="Arial" w:hAnsi="Arial" w:cs="Arial"/>
          <w:noProof/>
          <w:sz w:val="22"/>
        </w:rPr>
        <w:t>. 2011;6(2). doi:10.1371/journal.pone.0016940</w:t>
      </w:r>
    </w:p>
    <w:p w14:paraId="3FF0501D"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7. </w:t>
      </w:r>
      <w:r w:rsidRPr="00B11537">
        <w:rPr>
          <w:rFonts w:ascii="Arial" w:hAnsi="Arial" w:cs="Arial"/>
          <w:noProof/>
          <w:sz w:val="22"/>
        </w:rPr>
        <w:tab/>
        <w:t xml:space="preserve">Wamae K, Wambua J, Nyangweso G, Mwambingu G, Osier F, Ndung’u F, Bejon P, Ochola-Oyier LI. Transmission and Age Impact the Risk of Developing Febrile Malaria in Children with Asymptomatic Plasmodium falciparum Parasitemia. </w:t>
      </w:r>
      <w:r w:rsidRPr="00B11537">
        <w:rPr>
          <w:rFonts w:ascii="Arial" w:hAnsi="Arial" w:cs="Arial"/>
          <w:i/>
          <w:iCs/>
          <w:noProof/>
          <w:sz w:val="22"/>
        </w:rPr>
        <w:t>J Infect Dis</w:t>
      </w:r>
      <w:r w:rsidRPr="00B11537">
        <w:rPr>
          <w:rFonts w:ascii="Arial" w:hAnsi="Arial" w:cs="Arial"/>
          <w:noProof/>
          <w:sz w:val="22"/>
        </w:rPr>
        <w:t>. Published online 2018. doi:10.1093/infdis/jiy591</w:t>
      </w:r>
    </w:p>
    <w:p w14:paraId="013E4407"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8. </w:t>
      </w:r>
      <w:r w:rsidRPr="00B11537">
        <w:rPr>
          <w:rFonts w:ascii="Arial" w:hAnsi="Arial" w:cs="Arial"/>
          <w:noProof/>
          <w:sz w:val="22"/>
        </w:rPr>
        <w:tab/>
        <w:t xml:space="preserve">Nsobya SL, Parikh S, Kironde F, Lubega G, Kamya MR, Rosenthal PJ, Dorsey G. Molecular Evaluation of the Natural History of Asymptomatic Parasitemia in Ugandan Children. </w:t>
      </w:r>
      <w:r w:rsidRPr="00B11537">
        <w:rPr>
          <w:rFonts w:ascii="Arial" w:hAnsi="Arial" w:cs="Arial"/>
          <w:i/>
          <w:iCs/>
          <w:noProof/>
          <w:sz w:val="22"/>
        </w:rPr>
        <w:t>J Infect Dis</w:t>
      </w:r>
      <w:r w:rsidRPr="00B11537">
        <w:rPr>
          <w:rFonts w:ascii="Arial" w:hAnsi="Arial" w:cs="Arial"/>
          <w:noProof/>
          <w:sz w:val="22"/>
        </w:rPr>
        <w:t>. 2004;189(12):2220-2226. doi:10.1086/421281</w:t>
      </w:r>
    </w:p>
    <w:p w14:paraId="4CC46BB4"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9. </w:t>
      </w:r>
      <w:r w:rsidRPr="00B11537">
        <w:rPr>
          <w:rFonts w:ascii="Arial" w:hAnsi="Arial" w:cs="Arial"/>
          <w:noProof/>
          <w:sz w:val="22"/>
        </w:rPr>
        <w:tab/>
        <w:t xml:space="preserve">Males S, Gaye O, Garcia A. Long-Term Asymptomatic Carriage of Plasmodium falciparum Protects from Malaria Attacks: a Prospective Study among Senegalese Children. </w:t>
      </w:r>
      <w:r w:rsidRPr="00B11537">
        <w:rPr>
          <w:rFonts w:ascii="Arial" w:hAnsi="Arial" w:cs="Arial"/>
          <w:i/>
          <w:iCs/>
          <w:noProof/>
          <w:sz w:val="22"/>
        </w:rPr>
        <w:t>Clin Infect Dis</w:t>
      </w:r>
      <w:r w:rsidRPr="00B11537">
        <w:rPr>
          <w:rFonts w:ascii="Arial" w:hAnsi="Arial" w:cs="Arial"/>
          <w:noProof/>
          <w:sz w:val="22"/>
        </w:rPr>
        <w:t>. 2008;46(4):516-522. doi:10.1086/526529</w:t>
      </w:r>
    </w:p>
    <w:p w14:paraId="2664A3D9"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10. </w:t>
      </w:r>
      <w:r w:rsidRPr="00B11537">
        <w:rPr>
          <w:rFonts w:ascii="Arial" w:hAnsi="Arial" w:cs="Arial"/>
          <w:noProof/>
          <w:sz w:val="22"/>
        </w:rPr>
        <w:tab/>
        <w:t xml:space="preserve">Buchwald AG, Sixpence A, Chimenya M, Damson M, Sorkin JD, Wilson ML, Seydel K, Hochman S, Mathanga DP, Taylor TE, Laufer MK. Clinical Implications of Asymptomatic Plasmodium falciparum Infections in Malawi. </w:t>
      </w:r>
      <w:r w:rsidRPr="00B11537">
        <w:rPr>
          <w:rFonts w:ascii="Arial" w:hAnsi="Arial" w:cs="Arial"/>
          <w:i/>
          <w:iCs/>
          <w:noProof/>
          <w:sz w:val="22"/>
        </w:rPr>
        <w:t>Clin Infect Dis</w:t>
      </w:r>
      <w:r w:rsidRPr="00B11537">
        <w:rPr>
          <w:rFonts w:ascii="Arial" w:hAnsi="Arial" w:cs="Arial"/>
          <w:noProof/>
          <w:sz w:val="22"/>
        </w:rPr>
        <w:t>. 2019;21201(1):106-112. doi:10.1093/cid/ciy427</w:t>
      </w:r>
    </w:p>
    <w:p w14:paraId="7DEE7766" w14:textId="77777777" w:rsidR="00787EF9" w:rsidRPr="00B11537" w:rsidRDefault="00787EF9" w:rsidP="00787EF9">
      <w:pPr>
        <w:widowControl w:val="0"/>
        <w:autoSpaceDE w:val="0"/>
        <w:autoSpaceDN w:val="0"/>
        <w:adjustRightInd w:val="0"/>
        <w:ind w:left="640" w:hanging="640"/>
        <w:rPr>
          <w:rFonts w:ascii="Arial" w:hAnsi="Arial" w:cs="Arial"/>
          <w:noProof/>
          <w:sz w:val="22"/>
        </w:rPr>
      </w:pPr>
      <w:r w:rsidRPr="00B11537">
        <w:rPr>
          <w:rFonts w:ascii="Arial" w:hAnsi="Arial" w:cs="Arial"/>
          <w:noProof/>
          <w:sz w:val="22"/>
        </w:rPr>
        <w:t xml:space="preserve">11. </w:t>
      </w:r>
      <w:r w:rsidRPr="00B11537">
        <w:rPr>
          <w:rFonts w:ascii="Arial" w:hAnsi="Arial" w:cs="Arial"/>
          <w:noProof/>
          <w:sz w:val="22"/>
        </w:rPr>
        <w:tab/>
        <w:t xml:space="preserve">Hernán MA, Robins JM, García Rodríguez LA. Discussion on “statistical issues arising in the Women’s Health Initiative.” </w:t>
      </w:r>
      <w:r w:rsidRPr="00B11537">
        <w:rPr>
          <w:rFonts w:ascii="Arial" w:hAnsi="Arial" w:cs="Arial"/>
          <w:i/>
          <w:iCs/>
          <w:noProof/>
          <w:sz w:val="22"/>
        </w:rPr>
        <w:t>Biometrics</w:t>
      </w:r>
      <w:r w:rsidRPr="00B11537">
        <w:rPr>
          <w:rFonts w:ascii="Arial" w:hAnsi="Arial" w:cs="Arial"/>
          <w:noProof/>
          <w:sz w:val="22"/>
        </w:rPr>
        <w:t>. 2005;61(4):922-930. doi:10.1111/j.0006-341X.2005.454_6.x</w:t>
      </w:r>
    </w:p>
    <w:p w14:paraId="2CB9ED7E" w14:textId="40676D67" w:rsidR="00AB1D0C" w:rsidRDefault="00787EF9" w:rsidP="00787EF9">
      <w:r>
        <w:rPr>
          <w:rFonts w:ascii="Arial" w:hAnsi="Arial" w:cs="Arial"/>
          <w:b/>
          <w:bCs/>
          <w:sz w:val="22"/>
          <w:szCs w:val="22"/>
        </w:rPr>
        <w:fldChar w:fldCharType="end"/>
      </w:r>
    </w:p>
    <w:sectPr w:rsidR="00AB1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F9"/>
    <w:rsid w:val="00095860"/>
    <w:rsid w:val="000B0838"/>
    <w:rsid w:val="000B5272"/>
    <w:rsid w:val="000D5974"/>
    <w:rsid w:val="000F358C"/>
    <w:rsid w:val="00105047"/>
    <w:rsid w:val="00132E8E"/>
    <w:rsid w:val="0014510C"/>
    <w:rsid w:val="00187AC9"/>
    <w:rsid w:val="001B2C69"/>
    <w:rsid w:val="001E33EB"/>
    <w:rsid w:val="001E58CE"/>
    <w:rsid w:val="001F6276"/>
    <w:rsid w:val="0026654C"/>
    <w:rsid w:val="00274D6A"/>
    <w:rsid w:val="002F60F5"/>
    <w:rsid w:val="003025AB"/>
    <w:rsid w:val="003408E5"/>
    <w:rsid w:val="0035349F"/>
    <w:rsid w:val="003610C7"/>
    <w:rsid w:val="003637E9"/>
    <w:rsid w:val="00377074"/>
    <w:rsid w:val="00396B5C"/>
    <w:rsid w:val="004235F7"/>
    <w:rsid w:val="00433D42"/>
    <w:rsid w:val="00450830"/>
    <w:rsid w:val="00467B7F"/>
    <w:rsid w:val="004D7B0A"/>
    <w:rsid w:val="004F3AAF"/>
    <w:rsid w:val="006072F6"/>
    <w:rsid w:val="00614975"/>
    <w:rsid w:val="00643E69"/>
    <w:rsid w:val="006653C3"/>
    <w:rsid w:val="006E53CA"/>
    <w:rsid w:val="006E7DC0"/>
    <w:rsid w:val="00700F09"/>
    <w:rsid w:val="007262AD"/>
    <w:rsid w:val="00781DCE"/>
    <w:rsid w:val="00787EF9"/>
    <w:rsid w:val="007A3BF1"/>
    <w:rsid w:val="008D0C1A"/>
    <w:rsid w:val="008F29C5"/>
    <w:rsid w:val="00916317"/>
    <w:rsid w:val="00942EA3"/>
    <w:rsid w:val="009B02EC"/>
    <w:rsid w:val="009D5CE6"/>
    <w:rsid w:val="00A40529"/>
    <w:rsid w:val="00A70240"/>
    <w:rsid w:val="00A92462"/>
    <w:rsid w:val="00AB1D0C"/>
    <w:rsid w:val="00AF054F"/>
    <w:rsid w:val="00B15FC0"/>
    <w:rsid w:val="00B25C69"/>
    <w:rsid w:val="00BA5178"/>
    <w:rsid w:val="00BE7FD8"/>
    <w:rsid w:val="00C23B3B"/>
    <w:rsid w:val="00C80B3D"/>
    <w:rsid w:val="00CC58B4"/>
    <w:rsid w:val="00D55DC7"/>
    <w:rsid w:val="00D5700C"/>
    <w:rsid w:val="00D72076"/>
    <w:rsid w:val="00D740B1"/>
    <w:rsid w:val="00D76C59"/>
    <w:rsid w:val="00D82F50"/>
    <w:rsid w:val="00DA30CA"/>
    <w:rsid w:val="00DF76BF"/>
    <w:rsid w:val="00E029B3"/>
    <w:rsid w:val="00E238F6"/>
    <w:rsid w:val="00E50285"/>
    <w:rsid w:val="00E54AFD"/>
    <w:rsid w:val="00E81484"/>
    <w:rsid w:val="00E90BD9"/>
    <w:rsid w:val="00E91219"/>
    <w:rsid w:val="00EA1635"/>
    <w:rsid w:val="00EF57BF"/>
    <w:rsid w:val="00F715EB"/>
    <w:rsid w:val="00FC30DC"/>
    <w:rsid w:val="00FF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0EF1"/>
  <w15:chartTrackingRefBased/>
  <w15:docId w15:val="{1A6C5B8F-6228-C84A-AAA9-18B010AF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E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3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F7CE-A77F-485E-89DA-51344F0E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5617</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Sumner</dc:creator>
  <cp:keywords/>
  <dc:description/>
  <cp:lastModifiedBy>Steve Taylor, M.D.</cp:lastModifiedBy>
  <cp:revision>4</cp:revision>
  <dcterms:created xsi:type="dcterms:W3CDTF">2021-07-15T20:46:00Z</dcterms:created>
  <dcterms:modified xsi:type="dcterms:W3CDTF">2021-07-16T14:02:00Z</dcterms:modified>
</cp:coreProperties>
</file>