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widowControl w:val="0"/>
        <w:spacing w:after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Supplementary file 1</w:t>
      </w:r>
      <w:r w:rsidDel="00000000" w:rsidR="00000000" w:rsidRPr="00000000">
        <w:rPr>
          <w:b w:val="1"/>
          <w:rtl w:val="0"/>
        </w:rPr>
        <w:t xml:space="preserve">.</w:t>
      </w:r>
      <w:r w:rsidDel="00000000" w:rsidR="00000000" w:rsidRPr="00000000">
        <w:rPr>
          <w:rtl w:val="0"/>
        </w:rPr>
        <w:t xml:space="preserve"> Table summarizing the constraints for the RBA model.</w:t>
      </w:r>
    </w:p>
    <w:tbl>
      <w:tblPr>
        <w:tblStyle w:val="Table1"/>
        <w:tblW w:w="9363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50"/>
        <w:gridCol w:w="2135.9999999999995"/>
        <w:gridCol w:w="1449.0000000000005"/>
        <w:gridCol w:w="2327.999999999999"/>
        <w:tblGridChange w:id="0">
          <w:tblGrid>
            <w:gridCol w:w="3450"/>
            <w:gridCol w:w="2135.9999999999995"/>
            <w:gridCol w:w="1449.0000000000005"/>
            <w:gridCol w:w="2327.99999999999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Parameter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Value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Unit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Reference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Biomass composition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adapted from genome scale model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 gDCW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-1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color w:val="0000ff"/>
                <w:sz w:val="20"/>
                <w:szCs w:val="20"/>
                <w:rtl w:val="0"/>
              </w:rPr>
              <w:t xml:space="preserve">Park et al., 2011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replication efficiency (DNA pol III)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2.88 × 10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nt/h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average of multiple sources, see </w:t>
            </w:r>
            <w:r w:rsidDel="00000000" w:rsidR="00000000" w:rsidRPr="00000000">
              <w:rPr>
                <w:color w:val="0000ff"/>
                <w:sz w:val="20"/>
                <w:szCs w:val="20"/>
                <w:rtl w:val="0"/>
              </w:rPr>
              <w:t xml:space="preserve">Methods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transcription efficiency (RNA pol II)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223,200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nt/h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color w:val="0000ff"/>
                <w:sz w:val="20"/>
                <w:szCs w:val="20"/>
                <w:rtl w:val="0"/>
              </w:rPr>
              <w:t xml:space="preserve">Epshtein et al., 2003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ribosome efficiency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97,200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aa/h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color w:val="0000ff"/>
                <w:sz w:val="20"/>
                <w:szCs w:val="20"/>
                <w:rtl w:val="0"/>
              </w:rPr>
              <w:t xml:space="preserve">Bulovic et al., 2019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chaperone efficiency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36045 × µ - 2888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aa/h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widowControl w:val="0"/>
              <w:spacing w:line="240" w:lineRule="auto"/>
              <w:rPr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color w:val="0000ff"/>
                <w:sz w:val="20"/>
                <w:szCs w:val="20"/>
                <w:rtl w:val="0"/>
              </w:rPr>
              <w:t xml:space="preserve">Bulovic et al., 2019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growth-associated maintenance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mmol gDCW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-1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widowControl w:val="0"/>
              <w:spacing w:line="240" w:lineRule="auto"/>
              <w:rPr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color w:val="0000ff"/>
                <w:sz w:val="20"/>
                <w:szCs w:val="20"/>
                <w:rtl w:val="0"/>
              </w:rPr>
              <w:t xml:space="preserve">Park et al., 2011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non growth-associated maintenance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mmol gDCW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-1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h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-1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ageBreakBefore w:val="0"/>
              <w:widowControl w:val="0"/>
              <w:spacing w:line="240" w:lineRule="auto"/>
              <w:rPr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color w:val="0000ff"/>
                <w:sz w:val="20"/>
                <w:szCs w:val="20"/>
                <w:rtl w:val="0"/>
              </w:rPr>
              <w:t xml:space="preserve">Park et al., 2011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total protein concentration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(in aa)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ageBreakBefore w:val="0"/>
              <w:widowControl w:val="0"/>
              <w:spacing w:line="240" w:lineRule="auto"/>
              <w:rPr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mmol gDCW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-1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widowControl w:val="0"/>
              <w:spacing w:line="240" w:lineRule="auto"/>
              <w:rPr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color w:val="0000ff"/>
                <w:sz w:val="20"/>
                <w:szCs w:val="20"/>
                <w:rtl w:val="0"/>
              </w:rPr>
              <w:t xml:space="preserve">Park et al., 2011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fraction of cytoplasmic proteins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0.8684 + 0.1060 × 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unitless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this study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fraction of membrane proteins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0.1316 - 0.1060 × 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unitless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ageBreakBefore w:val="0"/>
              <w:widowControl w:val="0"/>
              <w:spacing w:line="240" w:lineRule="auto"/>
              <w:rPr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this study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fraction of non-enzymatic proteins in cytoplasm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0.5374 - 0.5657 × 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unitless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widowControl w:val="0"/>
              <w:spacing w:line="240" w:lineRule="auto"/>
              <w:rPr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this study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fraction of non-enzymatic proteins in membrane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0.8414 - 0.2147 × 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unitless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ageBreakBefore w:val="0"/>
              <w:widowControl w:val="0"/>
              <w:spacing w:line="240" w:lineRule="auto"/>
              <w:rPr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this study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ageBreakBefore w:val="0"/>
              <w:widowControl w:val="0"/>
              <w:spacing w:line="240" w:lineRule="auto"/>
              <w:rPr>
                <w:sz w:val="20"/>
                <w:szCs w:val="20"/>
                <w:vertAlign w:val="subscript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median k</w:t>
            </w:r>
            <w:r w:rsidDel="00000000" w:rsidR="00000000" w:rsidRPr="00000000">
              <w:rPr>
                <w:sz w:val="20"/>
                <w:szCs w:val="20"/>
                <w:vertAlign w:val="subscript"/>
                <w:rtl w:val="0"/>
              </w:rPr>
              <w:t xml:space="preserve">app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5770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ageBreakBefore w:val="0"/>
              <w:widowControl w:val="0"/>
              <w:spacing w:line="240" w:lineRule="auto"/>
              <w:rPr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-1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this study</w:t>
            </w:r>
          </w:p>
        </w:tc>
      </w:tr>
    </w:tbl>
    <w:p w:rsidR="00000000" w:rsidDel="00000000" w:rsidP="00000000" w:rsidRDefault="00000000" w:rsidRPr="00000000" w14:paraId="0000003B">
      <w:pPr>
        <w:pageBreakBefore w:val="0"/>
        <w:widowControl w:val="0"/>
        <w:spacing w:after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