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F21E761" w:rsidR="00877644" w:rsidRPr="000232CF" w:rsidRDefault="000232C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0"/>
          <w:szCs w:val="20"/>
        </w:rPr>
      </w:pPr>
      <w:r w:rsidRPr="000232CF">
        <w:rPr>
          <w:rFonts w:ascii="Calibri" w:hAnsi="Calibri" w:cs="Calibri"/>
          <w:sz w:val="20"/>
          <w:szCs w:val="20"/>
        </w:rPr>
        <w:t xml:space="preserve">No sample size was calculated, as this study describes an agnostic approach to variant finding associated with a phenotype. In two large bacterial carriage cohorts (1200+ and 3000+ samples) we performed genome-wide association studies and meta-analysis of the results. This enabled us to find variants of a certain effect size at a threshold of </w:t>
      </w:r>
      <w:r w:rsidRPr="000232CF">
        <w:rPr>
          <w:rFonts w:ascii="Calibri" w:hAnsi="Calibri" w:cs="Calibri"/>
          <w:color w:val="000000" w:themeColor="text1"/>
          <w:sz w:val="20"/>
          <w:szCs w:val="20"/>
        </w:rPr>
        <w:t>p &lt; 1.0x10</w:t>
      </w:r>
      <w:r w:rsidRPr="000232CF">
        <w:rPr>
          <w:rFonts w:ascii="Calibri" w:hAnsi="Calibri" w:cs="Calibri"/>
          <w:color w:val="000000" w:themeColor="text1"/>
          <w:sz w:val="20"/>
          <w:szCs w:val="20"/>
          <w:vertAlign w:val="superscript"/>
        </w:rPr>
        <w:t>-7</w:t>
      </w:r>
      <w:r w:rsidRPr="000232CF">
        <w:rPr>
          <w:rFonts w:ascii="Calibri" w:hAnsi="Calibri" w:cs="Calibri"/>
          <w:sz w:val="20"/>
          <w:szCs w:val="20"/>
        </w:rPr>
        <w:t xml:space="preserve">. </w:t>
      </w:r>
      <w:r>
        <w:rPr>
          <w:rFonts w:ascii="Calibri" w:hAnsi="Calibri" w:cs="Calibri"/>
          <w:sz w:val="20"/>
          <w:szCs w:val="20"/>
        </w:rPr>
        <w:t>L</w:t>
      </w:r>
      <w:r w:rsidRPr="000232CF">
        <w:rPr>
          <w:rFonts w:ascii="Calibri" w:hAnsi="Calibri" w:cs="Calibri"/>
          <w:sz w:val="20"/>
          <w:szCs w:val="20"/>
        </w:rPr>
        <w:t>arger cohorts would have enable</w:t>
      </w:r>
      <w:r>
        <w:rPr>
          <w:rFonts w:ascii="Calibri" w:hAnsi="Calibri" w:cs="Calibri"/>
          <w:sz w:val="20"/>
          <w:szCs w:val="20"/>
        </w:rPr>
        <w:t>d</w:t>
      </w:r>
      <w:r w:rsidRPr="000232CF">
        <w:rPr>
          <w:rFonts w:ascii="Calibri" w:hAnsi="Calibri" w:cs="Calibri"/>
          <w:sz w:val="20"/>
          <w:szCs w:val="20"/>
        </w:rPr>
        <w:t xml:space="preserve"> identification of smaller effect sizes.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51CE869" w:rsidR="00B330BD" w:rsidRPr="00733484" w:rsidRDefault="0073348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733484">
        <w:rPr>
          <w:rFonts w:asciiTheme="minorHAnsi" w:hAnsiTheme="minorHAnsi"/>
          <w:sz w:val="20"/>
          <w:szCs w:val="20"/>
        </w:rPr>
        <w:t xml:space="preserve">Please find information on the availability of genomic sequences under “Data availability” in the “Methods” section of the article, in which we refer to Supplementary Table S2 and Supplementary Table S3. </w:t>
      </w:r>
      <w:r w:rsidR="003737A9">
        <w:rPr>
          <w:rFonts w:asciiTheme="minorHAnsi" w:hAnsiTheme="minorHAnsi"/>
          <w:sz w:val="20"/>
          <w:szCs w:val="20"/>
        </w:rPr>
        <w:t>Sequences have been deposited in the ENA.</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6566205" w14:textId="61382BC5" w:rsidR="00733484" w:rsidRPr="00A526EA" w:rsidRDefault="0073348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0"/>
          <w:szCs w:val="20"/>
        </w:rPr>
      </w:pPr>
      <w:r w:rsidRPr="00A526EA">
        <w:rPr>
          <w:rFonts w:asciiTheme="minorHAnsi" w:hAnsiTheme="minorHAnsi"/>
          <w:color w:val="000000" w:themeColor="text1"/>
          <w:sz w:val="20"/>
          <w:szCs w:val="20"/>
        </w:rPr>
        <w:t>Please see the section</w:t>
      </w:r>
      <w:r w:rsidR="00A526EA" w:rsidRPr="00A526EA">
        <w:rPr>
          <w:rFonts w:asciiTheme="minorHAnsi" w:hAnsiTheme="minorHAnsi"/>
          <w:color w:val="000000" w:themeColor="text1"/>
          <w:sz w:val="20"/>
          <w:szCs w:val="20"/>
        </w:rPr>
        <w:t xml:space="preserve"> “Data availability”</w:t>
      </w:r>
      <w:r w:rsidRPr="00A526EA">
        <w:rPr>
          <w:rFonts w:asciiTheme="minorHAnsi" w:hAnsiTheme="minorHAnsi"/>
          <w:color w:val="000000" w:themeColor="text1"/>
          <w:sz w:val="20"/>
          <w:szCs w:val="20"/>
        </w:rPr>
        <w:t xml:space="preserve"> in the manuscript </w:t>
      </w:r>
      <w:r w:rsidR="00A526EA" w:rsidRPr="00A526EA">
        <w:rPr>
          <w:rFonts w:asciiTheme="minorHAnsi" w:hAnsiTheme="minorHAnsi"/>
          <w:color w:val="000000" w:themeColor="text1"/>
          <w:sz w:val="20"/>
          <w:szCs w:val="20"/>
        </w:rPr>
        <w:t xml:space="preserve">under “Methods”. </w:t>
      </w:r>
      <w:r w:rsidRPr="00A526EA">
        <w:rPr>
          <w:rFonts w:asciiTheme="minorHAnsi" w:hAnsiTheme="minorHAnsi"/>
          <w:color w:val="000000" w:themeColor="text1"/>
          <w:sz w:val="20"/>
          <w:szCs w:val="20"/>
        </w:rPr>
        <w:t>Summary statistics for the results from the genome wide association studies can be found at</w:t>
      </w:r>
      <w:r w:rsidR="00A526EA" w:rsidRPr="00A526EA">
        <w:rPr>
          <w:rFonts w:asciiTheme="minorHAnsi" w:hAnsiTheme="minorHAnsi"/>
          <w:color w:val="000000" w:themeColor="text1"/>
          <w:sz w:val="20"/>
          <w:szCs w:val="20"/>
        </w:rPr>
        <w:t xml:space="preserve"> https://figshare.com/articles/dataset/S_pneumoniae_carriage_GWA</w:t>
      </w:r>
      <w:bookmarkStart w:id="0" w:name="_GoBack"/>
      <w:bookmarkEnd w:id="0"/>
      <w:r w:rsidR="00A526EA" w:rsidRPr="00A526EA">
        <w:rPr>
          <w:rFonts w:asciiTheme="minorHAnsi" w:hAnsiTheme="minorHAnsi"/>
          <w:color w:val="000000" w:themeColor="text1"/>
          <w:sz w:val="20"/>
          <w:szCs w:val="20"/>
        </w:rPr>
        <w:t>S/14431313</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73A9C40" w:rsidR="00BC3CCE" w:rsidRPr="00733484" w:rsidRDefault="0073348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733484">
        <w:rPr>
          <w:rFonts w:asciiTheme="minorHAnsi" w:hAnsiTheme="minorHAnsi"/>
          <w:sz w:val="20"/>
          <w:szCs w:val="20"/>
        </w:rPr>
        <w:t>Samples were allocated to infant/child or adult based on age. The cutoff value was 2 years of age.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6584075" w:rsidR="00BC3CCE" w:rsidRPr="003737A9" w:rsidRDefault="003737A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3737A9">
        <w:rPr>
          <w:rFonts w:asciiTheme="minorHAnsi" w:hAnsiTheme="minorHAnsi"/>
          <w:sz w:val="20"/>
          <w:szCs w:val="20"/>
        </w:rPr>
        <w:t xml:space="preserve">Please see above, genomic sequences have been deposited to ENA and summary statistics for the results from the genome-wide association study are available through </w:t>
      </w:r>
      <w:proofErr w:type="spellStart"/>
      <w:r w:rsidRPr="003737A9">
        <w:rPr>
          <w:rFonts w:asciiTheme="minorHAnsi" w:hAnsiTheme="minorHAnsi"/>
          <w:sz w:val="20"/>
          <w:szCs w:val="20"/>
        </w:rPr>
        <w:t>Figshare</w:t>
      </w:r>
      <w:proofErr w:type="spellEnd"/>
      <w:r w:rsidRPr="003737A9">
        <w:rPr>
          <w:rFonts w:asciiTheme="minorHAnsi" w:hAnsiTheme="minorHAnsi"/>
          <w:sz w:val="20"/>
          <w:szCs w:val="20"/>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CE626" w14:textId="77777777" w:rsidR="00585A1D" w:rsidRDefault="00585A1D" w:rsidP="004215FE">
      <w:r>
        <w:separator/>
      </w:r>
    </w:p>
  </w:endnote>
  <w:endnote w:type="continuationSeparator" w:id="0">
    <w:p w14:paraId="3ED72B89" w14:textId="77777777" w:rsidR="00585A1D" w:rsidRDefault="00585A1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9A132" w14:textId="77777777" w:rsidR="00585A1D" w:rsidRDefault="00585A1D" w:rsidP="004215FE">
      <w:r>
        <w:separator/>
      </w:r>
    </w:p>
  </w:footnote>
  <w:footnote w:type="continuationSeparator" w:id="0">
    <w:p w14:paraId="6A4472F4" w14:textId="77777777" w:rsidR="00585A1D" w:rsidRDefault="00585A1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232CF"/>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737A9"/>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5A1D"/>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33484"/>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26EA"/>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DC97536-D027-664C-8C37-7DF44FAC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CC93-3E7B-A140-B44F-01C39379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Philip Kremer</cp:lastModifiedBy>
  <cp:revision>29</cp:revision>
  <dcterms:created xsi:type="dcterms:W3CDTF">2017-06-13T14:43:00Z</dcterms:created>
  <dcterms:modified xsi:type="dcterms:W3CDTF">2021-04-16T09:03:00Z</dcterms:modified>
</cp:coreProperties>
</file>