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0A7" w:rsidRDefault="00532734">
      <w:bookmarkStart w:id="0" w:name="_GoBack"/>
      <w:r w:rsidRPr="00492F09">
        <w:rPr>
          <w:b/>
          <w:noProof/>
          <w:sz w:val="32"/>
          <w:szCs w:val="32"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CE84A4" wp14:editId="71C36828">
                <wp:simplePos x="0" y="0"/>
                <wp:positionH relativeFrom="margin">
                  <wp:posOffset>0</wp:posOffset>
                </wp:positionH>
                <wp:positionV relativeFrom="page">
                  <wp:posOffset>1184910</wp:posOffset>
                </wp:positionV>
                <wp:extent cx="6997065" cy="2723515"/>
                <wp:effectExtent l="0" t="0" r="0" b="635"/>
                <wp:wrapTopAndBottom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065" cy="2723515"/>
                          <a:chOff x="0" y="1"/>
                          <a:chExt cx="6997065" cy="2296589"/>
                        </a:xfrm>
                      </wpg:grpSpPr>
                      <wps:wsp>
                        <wps:cNvPr id="36" name="Zone de texte 36"/>
                        <wps:cNvSpPr txBox="1"/>
                        <wps:spPr>
                          <a:xfrm>
                            <a:off x="93545" y="1889105"/>
                            <a:ext cx="5907819" cy="4074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532734" w:rsidRPr="0073652D" w:rsidRDefault="00532734" w:rsidP="00532734">
                              <w:pPr>
                                <w:pStyle w:val="Sansinterligne"/>
                                <w:rPr>
                                  <w:noProof/>
                                  <w:color w:val="002060"/>
                                  <w:sz w:val="24"/>
                                </w:rPr>
                              </w:pPr>
                              <w:bookmarkStart w:id="1" w:name="_Hlk77604571"/>
                              <w:bookmarkStart w:id="2" w:name="_Hlk77604572"/>
                              <w:r>
                                <w:t>Supplementary Table 3: Parameters estimates of the Model M2 (left) and the same model without variability in transmission (Right).</w:t>
                              </w:r>
                              <w:bookmarkEnd w:id="1"/>
                              <w:bookmarkEnd w:id="2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Zone de texte 3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"/>
                            <a:ext cx="6997065" cy="1879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W w:w="9922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4"/>
                                <w:gridCol w:w="1984"/>
                                <w:gridCol w:w="1985"/>
                                <w:gridCol w:w="1984"/>
                                <w:gridCol w:w="1985"/>
                              </w:tblGrid>
                              <w:tr w:rsidR="00532734" w:rsidRPr="0055362F" w:rsidTr="00F66614">
                                <w:trPr>
                                  <w:trHeight w:val="227"/>
                                </w:trPr>
                                <w:tc>
                                  <w:tcPr>
                                    <w:tcW w:w="1984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938" w:type="dxa"/>
                                    <w:gridSpan w:val="4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Parameter estimates (</w:t>
                                    </w:r>
                                    <w:proofErr w:type="spellStart"/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RSE</w:t>
                                    </w:r>
                                    <w:proofErr w:type="spellEnd"/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%)</w:t>
                                    </w:r>
                                  </w:p>
                                </w:tc>
                              </w:tr>
                              <w:tr w:rsidR="00532734" w:rsidRPr="0055362F" w:rsidTr="00F66614">
                                <w:trPr>
                                  <w:trHeight w:val="227"/>
                                </w:trPr>
                                <w:tc>
                                  <w:tcPr>
                                    <w:tcW w:w="1984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969" w:type="dxa"/>
                                    <w:gridSpan w:val="2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Logit-Linear (M2)</w:t>
                                    </w:r>
                                  </w:p>
                                </w:tc>
                                <w:tc>
                                  <w:tcPr>
                                    <w:tcW w:w="3969" w:type="dxa"/>
                                    <w:gridSpan w:val="2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Model without variability</w:t>
                                    </w:r>
                                  </w:p>
                                </w:tc>
                              </w:tr>
                              <w:tr w:rsidR="00532734" w:rsidRPr="0055362F" w:rsidTr="00F66614">
                                <w:trPr>
                                  <w:trHeight w:val="227"/>
                                </w:trPr>
                                <w:tc>
                                  <w:tcPr>
                                    <w:tcW w:w="198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</w:rPr>
                                      <w:t>Fixed effect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>Random effect SD</w:t>
                                    </w:r>
                                  </w:p>
                                </w:tc>
                              </w:tr>
                              <w:tr w:rsidR="00532734" w:rsidRPr="0055362F" w:rsidTr="00F66614">
                                <w:trPr>
                                  <w:trHeight w:val="227"/>
                                </w:trPr>
                                <w:tc>
                                  <w:tcPr>
                                    <w:tcW w:w="198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R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0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pStyle w:val="Lgende"/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13.6 (15)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pStyle w:val="Lgende"/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0.38 (21)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11 (18)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0.376 (24)</w:t>
                                    </w:r>
                                  </w:p>
                                </w:tc>
                              </w:tr>
                              <w:tr w:rsidR="00532734" w:rsidRPr="0055362F" w:rsidTr="00F66614">
                                <w:trPr>
                                  <w:trHeight w:val="227"/>
                                </w:trPr>
                                <w:tc>
                                  <w:tcPr>
                                    <w:tcW w:w="1984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δ</m:t>
                                        </m:r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 (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d</m:t>
                                            </m:r>
                                          </m:e>
                                          <m: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fr-FR"/>
                                              </w:rPr>
                                              <m:t>-1</m:t>
                                            </m:r>
                                          </m:sup>
                                        </m:sSup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4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pStyle w:val="Lgende"/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0.84 (4)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5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pStyle w:val="Lgende"/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0.037 (77)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4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0.87 (1.7)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0.0342 (32.4)</w:t>
                                    </w:r>
                                  </w:p>
                                </w:tc>
                              </w:tr>
                              <w:tr w:rsidR="00532734" w:rsidRPr="0055362F" w:rsidTr="00F66614">
                                <w:trPr>
                                  <w:trHeight w:val="227"/>
                                </w:trPr>
                                <w:tc>
                                  <w:tcPr>
                                    <w:tcW w:w="198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p</m:t>
                                        </m:r>
                                      </m:oMath>
                                    </m:oMathPara>
                                  </w:p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(</w:t>
                                    </w:r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cell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m:t>s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m:t>-1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.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m:t>d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en-GB"/>
                                            </w:rPr>
                                            <m:t>-1</m:t>
                                          </m:r>
                                        </m:sup>
                                      </m:s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)</m:t>
                                      </m:r>
                                    </m:oMath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pStyle w:val="Lgende"/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2.8×</m:t>
                                        </m:r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color w:val="auto"/>
                                                <w:sz w:val="20"/>
                                                <w:szCs w:val="20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auto"/>
                                                <w:sz w:val="20"/>
                                                <w:szCs w:val="20"/>
                                              </w:rPr>
                                              <m:t>10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color w:val="auto"/>
                                                <w:sz w:val="20"/>
                                                <w:szCs w:val="20"/>
                                              </w:rPr>
                                              <m:t>5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 xml:space="preserve"> (50)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pStyle w:val="Lgende"/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color w:val="auto"/>
                                        <w:sz w:val="20"/>
                                        <w:szCs w:val="20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color w:val="auto"/>
                                            <w:sz w:val="20"/>
                                            <w:szCs w:val="20"/>
                                          </w:rPr>
                                          <m:t>2.35 (8)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2×1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Times New Roman"/>
                                              <w:i/>
                                              <w:iCs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0</m:t>
                                          </m:r>
                                        </m:e>
                                        <m:sup>
                                          <m:r>
                                            <w:rPr>
                                              <w:rFonts w:ascii="Cambria Math" w:hAnsi="Cambria Math" w:cs="Times New Roman"/>
                                              <w:sz w:val="20"/>
                                              <w:szCs w:val="20"/>
                                              <w:lang w:val="fr-FR"/>
                                            </w:rPr>
                                            <m:t>5</m:t>
                                          </m:r>
                                        </m:sup>
                                      </m:sSup>
                                    </m:oMath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w:t xml:space="preserve"> (54)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2.45 (8.28)</w:t>
                                    </w:r>
                                  </w:p>
                                </w:tc>
                              </w:tr>
                              <w:tr w:rsidR="00532734" w:rsidRPr="0055362F" w:rsidTr="00F66614">
                                <w:trPr>
                                  <w:trHeight w:val="227"/>
                                </w:trPr>
                                <w:tc>
                                  <w:tcPr>
                                    <w:tcW w:w="198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  <m:t>γ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  <m:t>1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kern w:val="24"/>
                                        <w:sz w:val="20"/>
                                        <w:szCs w:val="20"/>
                                      </w:rPr>
                                      <w:t>0.49 (20)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kern w:val="24"/>
                                            <w:sz w:val="20"/>
                                            <w:szCs w:val="20"/>
                                            <w:lang w:val="fr-FR"/>
                                          </w:rPr>
                                          <m:t>0.85 (32)</m:t>
                                        </m:r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0.712 (13.6)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vMerge w:val="restart"/>
                                    <w:tcBorders>
                                      <w:top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 w:cs="Times New Roman"/>
                                            <w:sz w:val="20"/>
                                            <w:szCs w:val="20"/>
                                            <w:lang w:val="en-GB"/>
                                          </w:rPr>
                                          <m:t>-</m:t>
                                        </m:r>
                                      </m:oMath>
                                    </m:oMathPara>
                                  </w:p>
                                </w:tc>
                              </w:tr>
                              <w:tr w:rsidR="00532734" w:rsidRPr="0055362F" w:rsidTr="00F66614">
                                <w:trPr>
                                  <w:trHeight w:val="227"/>
                                </w:trPr>
                                <w:tc>
                                  <w:tcPr>
                                    <w:tcW w:w="198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m:oMathPara>
                                      <m:oMathParaPr>
                                        <m:jc m:val="centerGroup"/>
                                      </m:oMathParaPr>
                                      <m:oMath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="Times New Roman"/>
                                                <w:i/>
                                                <w:iCs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  <w:lang w:val="en-GB"/>
                                              </w:rPr>
                                              <m:t>γ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 w:cs="Times New Roman"/>
                                                <w:sz w:val="20"/>
                                                <w:szCs w:val="20"/>
                                              </w:rPr>
                                              <m:t>2</m:t>
                                            </m:r>
                                          </m:sub>
                                        </m:sSub>
                                      </m:oMath>
                                    </m:oMathPara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kern w:val="24"/>
                                        <w:sz w:val="20"/>
                                        <w:szCs w:val="20"/>
                                      </w:rPr>
                                      <w:t>0.21 (44)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bottom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84" w:type="dxa"/>
                                    <w:tcBorders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0.39 (22.4)</w:t>
                                    </w:r>
                                  </w:p>
                                </w:tc>
                                <w:tc>
                                  <w:tcPr>
                                    <w:tcW w:w="1985" w:type="dxa"/>
                                    <w:vMerge/>
                                    <w:tcBorders>
                                      <w:bottom w:val="single" w:sz="4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</w:p>
                                </w:tc>
                              </w:tr>
                              <w:tr w:rsidR="00532734" w:rsidRPr="0055362F" w:rsidTr="00F66614">
                                <w:trPr>
                                  <w:trHeight w:val="227"/>
                                </w:trPr>
                                <w:tc>
                                  <w:tcPr>
                                    <w:tcW w:w="1984" w:type="dxa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  <w:t>-2 x log-likelihood</w:t>
                                    </w:r>
                                  </w:p>
                                </w:tc>
                                <w:tc>
                                  <w:tcPr>
                                    <w:tcW w:w="3969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15" w:type="dxa"/>
                                      <w:left w:w="108" w:type="dxa"/>
                                      <w:bottom w:w="0" w:type="dxa"/>
                                      <w:right w:w="108" w:type="dxa"/>
                                    </w:tcMar>
                                    <w:vAlign w:val="center"/>
                                  </w:tcPr>
                                  <w:p w:rsidR="00532734" w:rsidRPr="0055362F" w:rsidRDefault="00532734" w:rsidP="00F66614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kern w:val="24"/>
                                        <w:sz w:val="20"/>
                                        <w:szCs w:val="20"/>
                                      </w:rPr>
                                      <w:t>2432</w:t>
                                    </w:r>
                                  </w:p>
                                </w:tc>
                                <w:tc>
                                  <w:tcPr>
                                    <w:tcW w:w="3969" w:type="dxa"/>
                                    <w:gridSpan w:val="2"/>
                                    <w:tcBorders>
                                      <w:top w:val="single" w:sz="4" w:space="0" w:color="auto"/>
                                      <w:bottom w:val="single" w:sz="4" w:space="0" w:color="auto"/>
                                    </w:tcBorders>
                                    <w:shd w:val="clear" w:color="auto" w:fill="auto"/>
                                    <w:tcMar>
                                      <w:top w:w="72" w:type="dxa"/>
                                      <w:left w:w="144" w:type="dxa"/>
                                      <w:bottom w:w="72" w:type="dxa"/>
                                      <w:right w:w="144" w:type="dxa"/>
                                    </w:tcMar>
                                    <w:vAlign w:val="center"/>
                                  </w:tcPr>
                                  <w:p w:rsidR="00532734" w:rsidRPr="0055362F" w:rsidRDefault="00532734" w:rsidP="00F66614">
                                    <w:pPr>
                                      <w:spacing w:after="0"/>
                                      <w:jc w:val="center"/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</w:pPr>
                                    <w:r w:rsidRPr="0055362F">
                                      <w:rPr>
                                        <w:rFonts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w:t>2443</w:t>
                                    </w:r>
                                  </w:p>
                                </w:tc>
                              </w:tr>
                            </w:tbl>
                            <w:p w:rsidR="00532734" w:rsidRPr="0055362F" w:rsidRDefault="00532734" w:rsidP="00532734">
                              <w:pPr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CE84A4" id="Groupe 21" o:spid="_x0000_s1026" style="position:absolute;margin-left:0;margin-top:93.3pt;width:550.95pt;height:214.45pt;z-index:251659264;mso-position-horizontal-relative:margin;mso-position-vertical-relative:page" coordorigin="" coordsize="69970,22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6" o:spid="_x0000_s1027" type="#_x0000_t202" style="position:absolute;left:935;top:18891;width:59078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" stroked="f">
                  <v:textbox inset="0,0,0,0">
                    <w:txbxContent>
                      <w:p w:rsidR="00532734" w:rsidRPr="0073652D" w:rsidRDefault="00532734" w:rsidP="00532734">
                        <w:pPr>
                          <w:pStyle w:val="Sansinterligne"/>
                          <w:rPr>
                            <w:noProof/>
                            <w:color w:val="002060"/>
                            <w:sz w:val="24"/>
                          </w:rPr>
                        </w:pPr>
                        <w:bookmarkStart w:id="3" w:name="_Hlk77604571"/>
                        <w:bookmarkStart w:id="4" w:name="_Hlk77604572"/>
                        <w:r>
                          <w:t>Supplementary Table 3: Parameters estimates of the Model M2 (left) and the same model without variability in transmission (Right).</w:t>
                        </w:r>
                        <w:bookmarkEnd w:id="3"/>
                        <w:bookmarkEnd w:id="4"/>
                      </w:p>
                    </w:txbxContent>
                  </v:textbox>
                </v:shape>
                <v:shape id="Zone de texte 37" o:spid="_x0000_s1028" type="#_x0000_t202" style="position:absolute;width:69970;height:18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9pxAAAANs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jH8fgk/QB5+AAAA//8DAFBLAQItABQABgAIAAAAIQDb4fbL7gAAAIUBAAATAAAAAAAAAAAA&#10;AAAAAAAAAABbQ29udGVudF9UeXBlc10ueG1sUEsBAi0AFAAGAAgAAAAhAFr0LFu/AAAAFQEAAAsA&#10;AAAAAAAAAAAAAAAAHwEAAF9yZWxzLy5yZWxzUEsBAi0AFAAGAAgAAAAhAEk9P2nEAAAA2wAAAA8A&#10;AAAAAAAAAAAAAAAABwIAAGRycy9kb3ducmV2LnhtbFBLBQYAAAAAAwADALcAAAD4AgAAAAA=&#10;" stroked="f">
                  <v:textbox>
                    <w:txbxContent>
                      <w:tbl>
                        <w:tblPr>
                          <w:tblW w:w="9922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84"/>
                          <w:gridCol w:w="1984"/>
                          <w:gridCol w:w="1985"/>
                          <w:gridCol w:w="1984"/>
                          <w:gridCol w:w="1985"/>
                        </w:tblGrid>
                        <w:tr w:rsidR="00532734" w:rsidRPr="0055362F" w:rsidTr="00F66614">
                          <w:trPr>
                            <w:trHeight w:val="227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7938" w:type="dxa"/>
                              <w:gridSpan w:val="4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Parameter estimates (</w:t>
                              </w:r>
                              <w:proofErr w:type="spellStart"/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RSE</w:t>
                              </w:r>
                              <w:proofErr w:type="spellEnd"/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%)</w:t>
                              </w:r>
                            </w:p>
                          </w:tc>
                        </w:tr>
                        <w:tr w:rsidR="00532734" w:rsidRPr="0055362F" w:rsidTr="00F66614">
                          <w:trPr>
                            <w:trHeight w:val="227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3969" w:type="dxa"/>
                              <w:gridSpan w:val="2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Logit-Linear (M2)</w:t>
                              </w:r>
                            </w:p>
                          </w:tc>
                          <w:tc>
                            <w:tcPr>
                              <w:tcW w:w="3969" w:type="dxa"/>
                              <w:gridSpan w:val="2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Model without variability</w:t>
                              </w:r>
                            </w:p>
                          </w:tc>
                        </w:tr>
                        <w:tr w:rsidR="00532734" w:rsidRPr="0055362F" w:rsidTr="00F66614">
                          <w:trPr>
                            <w:trHeight w:val="227"/>
                          </w:trPr>
                          <w:tc>
                            <w:tcPr>
                              <w:tcW w:w="198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Fixed effect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>Random effect SD</w:t>
                              </w:r>
                            </w:p>
                          </w:tc>
                        </w:tr>
                        <w:tr w:rsidR="00532734" w:rsidRPr="0055362F" w:rsidTr="00F66614">
                          <w:trPr>
                            <w:trHeight w:val="227"/>
                          </w:trPr>
                          <w:tc>
                            <w:tcPr>
                              <w:tcW w:w="198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0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pStyle w:val="Lgende"/>
                                <w:spacing w:after="0"/>
                                <w:jc w:val="center"/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m:t>13.6 (15)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pStyle w:val="Lgende"/>
                                <w:spacing w:after="0"/>
                                <w:jc w:val="center"/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m:t>0.38 (21)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11 (18)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0.376 (24)</w:t>
                              </w:r>
                            </w:p>
                          </w:tc>
                        </w:tr>
                        <w:tr w:rsidR="00532734" w:rsidRPr="0055362F" w:rsidTr="00F66614">
                          <w:trPr>
                            <w:trHeight w:val="227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fr-FR"/>
                                    </w:rPr>
                                    <m:t>δ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fr-FR"/>
                                    </w:rPr>
                                    <m:t> (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d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fr-FR"/>
                                        </w:rPr>
                                        <m:t>-1</m:t>
                                      </m:r>
                                    </m:sup>
                                  </m:s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fr-FR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984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pStyle w:val="Lgende"/>
                                <w:spacing w:after="0"/>
                                <w:jc w:val="center"/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m:t>0.84 (4)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985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pStyle w:val="Lgende"/>
                                <w:spacing w:after="0"/>
                                <w:jc w:val="center"/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m:t>0.037 (77)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984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0.87 (1.7)</w:t>
                              </w:r>
                            </w:p>
                          </w:tc>
                          <w:tc>
                            <w:tcPr>
                              <w:tcW w:w="1985" w:type="dxa"/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0.0342 (32.4)</w:t>
                              </w:r>
                            </w:p>
                          </w:tc>
                        </w:tr>
                        <w:tr w:rsidR="00532734" w:rsidRPr="0055362F" w:rsidTr="00F66614">
                          <w:trPr>
                            <w:trHeight w:val="227"/>
                          </w:trPr>
                          <w:tc>
                            <w:tcPr>
                              <w:tcW w:w="198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fr-FR"/>
                                    </w:rPr>
                                    <m:t>p</m:t>
                                  </m:r>
                                </m:oMath>
                              </m:oMathPara>
                            </w:p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(</w:t>
                              </w: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cell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m:t>s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.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0"/>
                                        <w:szCs w:val="20"/>
                                        <w:lang w:val="en-GB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m:t>d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en-GB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en-GB"/>
                                  </w:rPr>
                                  <m:t>)</m:t>
                                </m:r>
                              </m:oMath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pStyle w:val="Lgende"/>
                                <w:spacing w:after="0"/>
                                <w:jc w:val="center"/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m:t>2.8×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10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 w:cs="Times New Roman"/>
                                          <w:color w:val="auto"/>
                                          <w:sz w:val="20"/>
                                          <w:szCs w:val="20"/>
                                        </w:rPr>
                                        <m:t>5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m:t xml:space="preserve"> (50)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pStyle w:val="Lgende"/>
                                <w:spacing w:after="0"/>
                                <w:jc w:val="center"/>
                                <w:rPr>
                                  <w:rFonts w:cs="Times New Roman"/>
                                  <w:color w:val="auto"/>
                                  <w:sz w:val="20"/>
                                  <w:szCs w:val="20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m:t>2.35 (8)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0"/>
                                    <w:szCs w:val="20"/>
                                    <w:lang w:val="fr-FR"/>
                                  </w:rPr>
                                  <m:t>2×1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iCs/>
                                        <w:sz w:val="20"/>
                                        <w:szCs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0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="Times New Roman"/>
                                        <w:sz w:val="20"/>
                                        <w:szCs w:val="20"/>
                                        <w:lang w:val="fr-FR"/>
                                      </w:rPr>
                                      <m:t>5</m:t>
                                    </m:r>
                                  </m:sup>
                                </m:sSup>
                              </m:oMath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  <w:t xml:space="preserve"> (54)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2.45 (8.28)</w:t>
                              </w:r>
                            </w:p>
                          </w:tc>
                        </w:tr>
                        <w:tr w:rsidR="00532734" w:rsidRPr="0055362F" w:rsidTr="00F66614">
                          <w:trPr>
                            <w:trHeight w:val="227"/>
                          </w:trPr>
                          <w:tc>
                            <w:tcPr>
                              <w:tcW w:w="198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γ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 w:line="36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kern w:val="24"/>
                                  <w:sz w:val="20"/>
                                  <w:szCs w:val="20"/>
                                </w:rPr>
                                <w:t>0.49 (20)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 w:line="36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kern w:val="24"/>
                                      <w:sz w:val="20"/>
                                      <w:szCs w:val="20"/>
                                      <w:lang w:val="fr-FR"/>
                                    </w:rPr>
                                    <m:t>0.85 (32)</m:t>
                                  </m:r>
                                </m:oMath>
                              </m:oMathPara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0.712 (13.6)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 w:val="restart"/>
                              <w:tcBorders>
                                <w:top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 w:cs="Times New Roman"/>
                                      <w:sz w:val="20"/>
                                      <w:szCs w:val="20"/>
                                      <w:lang w:val="en-GB"/>
                                    </w:rPr>
                                    <m:t>-</m:t>
                                  </m:r>
                                </m:oMath>
                              </m:oMathPara>
                            </w:p>
                          </w:tc>
                        </w:tr>
                        <w:tr w:rsidR="00532734" w:rsidRPr="0055362F" w:rsidTr="00F66614">
                          <w:trPr>
                            <w:trHeight w:val="227"/>
                          </w:trPr>
                          <w:tc>
                            <w:tcPr>
                              <w:tcW w:w="198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m:oMathPara>
                                <m:oMathParaPr>
                                  <m:jc m:val="centerGroup"/>
                                </m:oMathParaPr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Times New Roman"/>
                                          <w:i/>
                                          <w:iCs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  <w:lang w:val="en-GB"/>
                                        </w:rPr>
                                        <m:t>γ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kern w:val="24"/>
                                  <w:sz w:val="20"/>
                                  <w:szCs w:val="20"/>
                                </w:rPr>
                                <w:t>0.21 (44)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tcBorders>
                                <w:bottom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0.39 (22.4)</w:t>
                              </w:r>
                            </w:p>
                          </w:tc>
                          <w:tc>
                            <w:tcPr>
                              <w:tcW w:w="1985" w:type="dxa"/>
                              <w:vMerge/>
                              <w:tcBorders>
                                <w:bottom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c>
                        </w:tr>
                        <w:tr w:rsidR="00532734" w:rsidRPr="0055362F" w:rsidTr="00F66614">
                          <w:trPr>
                            <w:trHeight w:val="227"/>
                          </w:trPr>
                          <w:tc>
                            <w:tcPr>
                              <w:tcW w:w="1984" w:type="dxa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iCs/>
                                  <w:sz w:val="20"/>
                                  <w:szCs w:val="20"/>
                                  <w:lang w:val="en-GB"/>
                                </w:rPr>
                                <w:t>-2 x log-likelihood</w:t>
                              </w:r>
                            </w:p>
                          </w:tc>
                          <w:tc>
                            <w:tcPr>
                              <w:tcW w:w="3969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15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</w:tcPr>
                            <w:p w:rsidR="00532734" w:rsidRPr="0055362F" w:rsidRDefault="00532734" w:rsidP="00F66614">
                              <w:pPr>
                                <w:spacing w:after="0" w:line="360" w:lineRule="auto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kern w:val="24"/>
                                  <w:sz w:val="20"/>
                                  <w:szCs w:val="20"/>
                                </w:rPr>
                                <w:t>2432</w:t>
                              </w:r>
                            </w:p>
                          </w:tc>
                          <w:tc>
                            <w:tcPr>
                              <w:tcW w:w="3969" w:type="dxa"/>
                              <w:gridSpan w:val="2"/>
                              <w:tcBorders>
                                <w:top w:val="single" w:sz="4" w:space="0" w:color="auto"/>
                                <w:bottom w:val="single" w:sz="4" w:space="0" w:color="auto"/>
                              </w:tcBorders>
                              <w:shd w:val="clear" w:color="auto" w:fill="auto"/>
                              <w:tcMar>
                                <w:top w:w="72" w:type="dxa"/>
                                <w:left w:w="144" w:type="dxa"/>
                                <w:bottom w:w="72" w:type="dxa"/>
                                <w:right w:w="144" w:type="dxa"/>
                              </w:tcMar>
                              <w:vAlign w:val="center"/>
                            </w:tcPr>
                            <w:p w:rsidR="00532734" w:rsidRPr="0055362F" w:rsidRDefault="00532734" w:rsidP="00F66614">
                              <w:pPr>
                                <w:spacing w:after="0"/>
                                <w:jc w:val="center"/>
                                <w:rPr>
                                  <w:rFonts w:cs="Times New Roman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55362F">
                                <w:rPr>
                                  <w:rFonts w:cs="Times New Roman"/>
                                  <w:sz w:val="20"/>
                                  <w:szCs w:val="20"/>
                                  <w:lang w:val="fr-FR"/>
                                </w:rPr>
                                <w:t>2443</w:t>
                              </w:r>
                            </w:p>
                          </w:tc>
                        </w:tr>
                      </w:tbl>
                      <w:p w:rsidR="00532734" w:rsidRPr="0055362F" w:rsidRDefault="00532734" w:rsidP="00532734">
                        <w:pPr>
                          <w:rPr>
                            <w:rFonts w:cs="Times New Roman"/>
                            <w:sz w:val="20"/>
                            <w:szCs w:val="20"/>
                            <w:lang w:val="fr-FR"/>
                          </w:rPr>
                        </w:pPr>
                      </w:p>
                    </w:txbxContent>
                  </v:textbox>
                </v:shape>
                <w10:wrap type="topAndBottom" anchorx="margin" anchory="page"/>
              </v:group>
            </w:pict>
          </mc:Fallback>
        </mc:AlternateContent>
      </w:r>
      <w:bookmarkEnd w:id="0"/>
    </w:p>
    <w:sectPr w:rsidR="002520A7" w:rsidSect="005327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34"/>
    <w:rsid w:val="002520A7"/>
    <w:rsid w:val="0053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0742A0-6107-4C7D-A6AF-C7C43E1B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734"/>
    <w:rPr>
      <w:rFonts w:ascii="Times New Roman" w:eastAsia="Batang" w:hAnsi="Times New Roman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link w:val="LgendeCar"/>
    <w:uiPriority w:val="35"/>
    <w:unhideWhenUsed/>
    <w:qFormat/>
    <w:rsid w:val="00532734"/>
    <w:pPr>
      <w:spacing w:after="200" w:line="240" w:lineRule="auto"/>
    </w:pPr>
    <w:rPr>
      <w:i/>
      <w:iCs/>
      <w:color w:val="44546A" w:themeColor="text2"/>
      <w:sz w:val="18"/>
      <w:szCs w:val="18"/>
      <w:lang w:val="en-GB"/>
    </w:rPr>
  </w:style>
  <w:style w:type="character" w:customStyle="1" w:styleId="LgendeCar">
    <w:name w:val="Légende Car"/>
    <w:basedOn w:val="Policepardfaut"/>
    <w:link w:val="Lgende"/>
    <w:uiPriority w:val="35"/>
    <w:rsid w:val="00532734"/>
    <w:rPr>
      <w:rFonts w:ascii="Times New Roman" w:eastAsia="Batang" w:hAnsi="Times New Roman"/>
      <w:i/>
      <w:iCs/>
      <w:color w:val="44546A" w:themeColor="text2"/>
      <w:sz w:val="18"/>
      <w:szCs w:val="18"/>
    </w:rPr>
  </w:style>
  <w:style w:type="paragraph" w:styleId="Sansinterligne">
    <w:name w:val="No Spacing"/>
    <w:aliases w:val="MOIIIIIIIIIIII"/>
    <w:uiPriority w:val="1"/>
    <w:qFormat/>
    <w:rsid w:val="00532734"/>
    <w:pPr>
      <w:spacing w:after="0" w:line="240" w:lineRule="auto"/>
    </w:pPr>
    <w:rPr>
      <w:rFonts w:ascii="Times New Roman" w:eastAsia="Batang" w:hAnsi="Times New Roman"/>
      <w:i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 MARC</dc:creator>
  <cp:keywords/>
  <dc:description/>
  <cp:lastModifiedBy>Aurelien MARC</cp:lastModifiedBy>
  <cp:revision>1</cp:revision>
  <dcterms:created xsi:type="dcterms:W3CDTF">2021-07-28T12:59:00Z</dcterms:created>
  <dcterms:modified xsi:type="dcterms:W3CDTF">2021-07-28T12:59:00Z</dcterms:modified>
</cp:coreProperties>
</file>