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A7" w:rsidRDefault="00D34AA1">
      <w:bookmarkStart w:id="0" w:name="_GoBack"/>
      <w:bookmarkEnd w:id="0"/>
      <w:r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98688C" wp14:editId="2CEFB773">
                <wp:simplePos x="0" y="0"/>
                <wp:positionH relativeFrom="page">
                  <wp:posOffset>899795</wp:posOffset>
                </wp:positionH>
                <wp:positionV relativeFrom="page">
                  <wp:posOffset>1184910</wp:posOffset>
                </wp:positionV>
                <wp:extent cx="7529624" cy="2588260"/>
                <wp:effectExtent l="0" t="0" r="0" b="2540"/>
                <wp:wrapTopAndBottom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9624" cy="2588260"/>
                          <a:chOff x="0" y="0"/>
                          <a:chExt cx="7531053" cy="2588826"/>
                        </a:xfrm>
                      </wpg:grpSpPr>
                      <wps:wsp>
                        <wps:cNvPr id="5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280910" cy="236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122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20" w:firstRow="1" w:lastRow="0" w:firstColumn="0" w:lastColumn="0" w:noHBand="0" w:noVBand="1"/>
                              </w:tblPr>
                              <w:tblGrid>
                                <w:gridCol w:w="1328"/>
                                <w:gridCol w:w="1229"/>
                                <w:gridCol w:w="1229"/>
                                <w:gridCol w:w="1240"/>
                                <w:gridCol w:w="1267"/>
                                <w:gridCol w:w="1221"/>
                                <w:gridCol w:w="1226"/>
                                <w:gridCol w:w="1240"/>
                                <w:gridCol w:w="1240"/>
                              </w:tblGrid>
                              <w:tr w:rsidR="00D34AA1" w:rsidRPr="00816BA0" w:rsidTr="00F66614">
                                <w:trPr>
                                  <w:trHeight w:val="227"/>
                                  <w:jc w:val="center"/>
                                </w:trPr>
                                <w:tc>
                                  <w:tcPr>
                                    <w:tcW w:w="6293" w:type="dxa"/>
                                    <w:gridSpan w:val="5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Proportion of contacts</w:t>
                                    </w:r>
                                  </w:p>
                                </w:tc>
                                <w:tc>
                                  <w:tcPr>
                                    <w:tcW w:w="4927" w:type="dxa"/>
                                    <w:gridSpan w:val="4"/>
                                    <w:tcBorders>
                                      <w:top w:val="nil"/>
                                      <w:left w:val="single" w:sz="8" w:space="0" w:color="000000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Secondary</w:t>
                                    </w:r>
                                    <w:proofErr w:type="spellEnd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attack</w:t>
                                    </w:r>
                                    <w:proofErr w:type="spellEnd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 xml:space="preserve"> rate</w:t>
                                    </w:r>
                                  </w:p>
                                </w:tc>
                              </w:tr>
                              <w:tr w:rsidR="00D34AA1" w:rsidRPr="00816BA0" w:rsidTr="00F66614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6293" w:type="dxa"/>
                                    <w:gridSpan w:val="5"/>
                                    <w:tcBorders>
                                      <w:top w:val="single" w:sz="8" w:space="0" w:color="000000"/>
                                      <w:left w:val="nil"/>
                                      <w:bottom w:val="nil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Mask use</w:t>
                                    </w:r>
                                  </w:p>
                                </w:tc>
                                <w:tc>
                                  <w:tcPr>
                                    <w:tcW w:w="4927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Mask use</w:t>
                                    </w:r>
                                  </w:p>
                                </w:tc>
                              </w:tr>
                              <w:tr w:rsidR="00D34AA1" w:rsidRPr="00816BA0" w:rsidTr="00F66614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3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Never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Always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Unknown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6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single" w:sz="8" w:space="0" w:color="000000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Never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Always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Unknown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Total</w:t>
                                    </w:r>
                                  </w:p>
                                </w:tc>
                              </w:tr>
                              <w:tr w:rsidR="00D34AA1" w:rsidRPr="00816BA0" w:rsidTr="00F66614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32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Non-</w:t>
                                    </w:r>
                                    <w:proofErr w:type="spellStart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Household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11/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2 %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6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25 %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6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13 %</w:t>
                                    </w:r>
                                  </w:p>
                                </w:tc>
                                <w:tc>
                                  <w:tcPr>
                                    <w:tcW w:w="126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233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40 %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single" w:sz="8" w:space="0" w:color="000000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2/11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18 %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18/14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6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12 %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9/7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6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12 %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29/2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33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12 %</w:t>
                                    </w:r>
                                  </w:p>
                                </w:tc>
                              </w:tr>
                              <w:tr w:rsidR="00D34AA1" w:rsidRPr="00816BA0" w:rsidTr="00F66614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328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Household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129/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22 %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93/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16 %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7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22 %</w:t>
                                    </w:r>
                                  </w:p>
                                </w:tc>
                                <w:tc>
                                  <w:tcPr>
                                    <w:tcW w:w="1267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349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60 %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single" w:sz="8" w:space="0" w:color="000000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23 / 129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18 %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25/93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27 %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39/12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7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31 %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nil"/>
                                      <w:left w:val="nil"/>
                                      <w:bottom w:val="single" w:sz="8" w:space="0" w:color="000000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87/34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9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25 %</w:t>
                                    </w:r>
                                  </w:p>
                                </w:tc>
                              </w:tr>
                              <w:tr w:rsidR="00D34AA1" w:rsidRPr="00816BA0" w:rsidTr="00F66614">
                                <w:trPr>
                                  <w:trHeight w:val="20"/>
                                  <w:jc w:val="center"/>
                                </w:trPr>
                                <w:tc>
                                  <w:tcPr>
                                    <w:tcW w:w="1328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140/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24 %</w:t>
                                    </w:r>
                                  </w:p>
                                </w:tc>
                                <w:tc>
                                  <w:tcPr>
                                    <w:tcW w:w="1229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23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9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41 %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203</w:t>
                                    </w: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582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35%</w:t>
                                    </w:r>
                                  </w:p>
                                </w:tc>
                                <w:tc>
                                  <w:tcPr>
                                    <w:tcW w:w="1267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25/140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18 %</w:t>
                                    </w:r>
                                  </w:p>
                                </w:tc>
                                <w:tc>
                                  <w:tcPr>
                                    <w:tcW w:w="1226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43/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239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18 %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48/</w:t>
                                    </w:r>
                                    <w:r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203</w:t>
                                    </w:r>
                                  </w:p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24 %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D34AA1" w:rsidRPr="00816BA0" w:rsidRDefault="00D34AA1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34AA1" w:rsidRPr="00816BA0" w:rsidRDefault="00D34AA1" w:rsidP="00D34AA1">
                              <w:pPr>
                                <w:spacing w:after="0"/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" name="Zone de texte 55"/>
                        <wps:cNvSpPr txBox="1"/>
                        <wps:spPr>
                          <a:xfrm>
                            <a:off x="251302" y="2296662"/>
                            <a:ext cx="7279751" cy="29216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34AA1" w:rsidRPr="0073652D" w:rsidRDefault="00D34AA1" w:rsidP="00D34AA1">
                              <w:pPr>
                                <w:pStyle w:val="Sansinterligne"/>
                                <w:rPr>
                                  <w:noProof/>
                                  <w:color w:val="002060"/>
                                  <w:sz w:val="24"/>
                                </w:rPr>
                              </w:pPr>
                              <w:bookmarkStart w:id="1" w:name="_Hlk77604582"/>
                              <w:bookmarkStart w:id="2" w:name="_Hlk77604583"/>
                              <w:r>
                                <w:t xml:space="preserve">Supplementary </w:t>
                              </w:r>
                              <w:r w:rsidR="00CD0CD5">
                                <w:t>file</w:t>
                              </w:r>
                              <w:r>
                                <w:t xml:space="preserve"> 4: Proportion of contacts wearing masks in each category (left). Secondary attack rate calculated for each category (right).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8688C" id="Groupe 44" o:spid="_x0000_s1026" style="position:absolute;margin-left:70.85pt;margin-top:93.3pt;width:592.9pt;height:203.8pt;z-index:251659264;mso-position-horizontal-relative:page;mso-position-vertical-relative:page;mso-width-relative:margin;mso-height-relative:margin" coordsize="75310,2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72809;height:2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tbl>
                        <w:tblPr>
                          <w:tblW w:w="1122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20" w:firstRow="1" w:lastRow="0" w:firstColumn="0" w:lastColumn="0" w:noHBand="0" w:noVBand="1"/>
                        </w:tblPr>
                        <w:tblGrid>
                          <w:gridCol w:w="1328"/>
                          <w:gridCol w:w="1229"/>
                          <w:gridCol w:w="1229"/>
                          <w:gridCol w:w="1240"/>
                          <w:gridCol w:w="1267"/>
                          <w:gridCol w:w="1221"/>
                          <w:gridCol w:w="1226"/>
                          <w:gridCol w:w="1240"/>
                          <w:gridCol w:w="1240"/>
                        </w:tblGrid>
                        <w:tr w:rsidR="00D34AA1" w:rsidRPr="00816BA0" w:rsidTr="00F66614">
                          <w:trPr>
                            <w:trHeight w:val="227"/>
                            <w:jc w:val="center"/>
                          </w:trPr>
                          <w:tc>
                            <w:tcPr>
                              <w:tcW w:w="6293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Proportion of contacts</w:t>
                              </w:r>
                            </w:p>
                          </w:tc>
                          <w:tc>
                            <w:tcPr>
                              <w:tcW w:w="4927" w:type="dxa"/>
                              <w:gridSpan w:val="4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Secondary</w:t>
                              </w:r>
                              <w:proofErr w:type="spellEnd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attack</w:t>
                              </w:r>
                              <w:proofErr w:type="spellEnd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 xml:space="preserve"> rate</w:t>
                              </w:r>
                            </w:p>
                          </w:tc>
                        </w:tr>
                        <w:tr w:rsidR="00D34AA1" w:rsidRPr="00816BA0" w:rsidTr="00F66614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6293" w:type="dxa"/>
                              <w:gridSpan w:val="5"/>
                              <w:tcBorders>
                                <w:top w:val="single" w:sz="8" w:space="0" w:color="000000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Mask use</w:t>
                              </w:r>
                            </w:p>
                          </w:tc>
                          <w:tc>
                            <w:tcPr>
                              <w:tcW w:w="4927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Mask use</w:t>
                              </w:r>
                            </w:p>
                          </w:tc>
                        </w:tr>
                        <w:tr w:rsidR="00D34AA1" w:rsidRPr="00816BA0" w:rsidTr="00F66614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3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Never</w:t>
                              </w:r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Always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Unknown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6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221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Never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Always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Unknown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Total</w:t>
                              </w:r>
                            </w:p>
                          </w:tc>
                        </w:tr>
                        <w:tr w:rsidR="00D34AA1" w:rsidRPr="00816BA0" w:rsidTr="00F66614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3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Non-</w:t>
                              </w:r>
                              <w:proofErr w:type="spellStart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Household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11/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2 %</w:t>
                              </w:r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14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6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25 %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7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6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13 %</w:t>
                              </w:r>
                            </w:p>
                          </w:tc>
                          <w:tc>
                            <w:tcPr>
                              <w:tcW w:w="126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233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40 %</w:t>
                              </w:r>
                            </w:p>
                          </w:tc>
                          <w:tc>
                            <w:tcPr>
                              <w:tcW w:w="1221" w:type="dxa"/>
                              <w:tcBorders>
                                <w:top w:val="nil"/>
                                <w:left w:val="single" w:sz="8" w:space="0" w:color="000000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2/11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18 %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18/14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6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12 %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9/7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6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12 %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29/2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33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12 %</w:t>
                              </w:r>
                            </w:p>
                          </w:tc>
                        </w:tr>
                        <w:tr w:rsidR="00D34AA1" w:rsidRPr="00816BA0" w:rsidTr="00F66614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328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Household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129/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22 %</w:t>
                              </w:r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93/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16 %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12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7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22 %</w:t>
                              </w:r>
                            </w:p>
                          </w:tc>
                          <w:tc>
                            <w:tcPr>
                              <w:tcW w:w="126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349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60 %</w:t>
                              </w:r>
                            </w:p>
                          </w:tc>
                          <w:tc>
                            <w:tcPr>
                              <w:tcW w:w="1221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23 / 129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18 %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25/93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27 %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39/12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7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31 %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87/34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9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25 %</w:t>
                              </w:r>
                            </w:p>
                          </w:tc>
                        </w:tr>
                        <w:tr w:rsidR="00D34AA1" w:rsidRPr="00816BA0" w:rsidTr="00F66614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328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140/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24 %</w:t>
                              </w:r>
                            </w:p>
                          </w:tc>
                          <w:tc>
                            <w:tcPr>
                              <w:tcW w:w="1229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23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9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41 %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203</w:t>
                              </w: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582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35%</w:t>
                              </w:r>
                            </w:p>
                          </w:tc>
                          <w:tc>
                            <w:tcPr>
                              <w:tcW w:w="1267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single" w:sz="8" w:space="0" w:color="000000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22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25/140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18 %</w:t>
                              </w:r>
                            </w:p>
                          </w:tc>
                          <w:tc>
                            <w:tcPr>
                              <w:tcW w:w="1226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43/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239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18 %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48/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203</w:t>
                              </w:r>
                            </w:p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24 %</w:t>
                              </w:r>
                            </w:p>
                          </w:tc>
                          <w:tc>
                            <w:tcPr>
                              <w:tcW w:w="1240" w:type="dxa"/>
                              <w:tcBorders>
                                <w:top w:val="single" w:sz="8" w:space="0" w:color="000000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D34AA1" w:rsidRPr="00816BA0" w:rsidRDefault="00D34AA1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</w:tr>
                      </w:tbl>
                      <w:p w:rsidR="00D34AA1" w:rsidRPr="00816BA0" w:rsidRDefault="00D34AA1" w:rsidP="00D34AA1">
                        <w:pPr>
                          <w:spacing w:after="0"/>
                          <w:rPr>
                            <w:rFonts w:cs="Times New Roman"/>
                            <w:sz w:val="20"/>
                            <w:szCs w:val="20"/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55" o:spid="_x0000_s1028" type="#_x0000_t202" style="position:absolute;left:2513;top:22966;width:72797;height: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" stroked="f">
                  <v:textbox style="mso-fit-shape-to-text:t" inset="0,0,0,0">
                    <w:txbxContent>
                      <w:p w:rsidR="00D34AA1" w:rsidRPr="0073652D" w:rsidRDefault="00D34AA1" w:rsidP="00D34AA1">
                        <w:pPr>
                          <w:pStyle w:val="Sansinterligne"/>
                          <w:rPr>
                            <w:noProof/>
                            <w:color w:val="002060"/>
                            <w:sz w:val="24"/>
                          </w:rPr>
                        </w:pPr>
                        <w:bookmarkStart w:id="3" w:name="_Hlk77604582"/>
                        <w:bookmarkStart w:id="4" w:name="_Hlk77604583"/>
                        <w:r>
                          <w:t xml:space="preserve">Supplementary </w:t>
                        </w:r>
                        <w:r w:rsidR="00CD0CD5">
                          <w:t>file</w:t>
                        </w:r>
                        <w:r>
                          <w:t xml:space="preserve"> 4: Proportion of contacts wearing masks in each category (left). Secondary attack rate calculated for each category (right).</w:t>
                        </w:r>
                        <w:bookmarkEnd w:id="3"/>
                        <w:bookmarkEnd w:id="4"/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sectPr w:rsidR="002520A7" w:rsidSect="00D3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A1"/>
    <w:rsid w:val="002520A7"/>
    <w:rsid w:val="00CD0CD5"/>
    <w:rsid w:val="00D3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93278"/>
  <w15:chartTrackingRefBased/>
  <w15:docId w15:val="{8AF05D70-2DB4-4E15-A964-EA998032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AA1"/>
    <w:rPr>
      <w:rFonts w:ascii="Times New Roman" w:eastAsia="Batang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MOIIIIIIIIIIII"/>
    <w:uiPriority w:val="1"/>
    <w:qFormat/>
    <w:rsid w:val="00D34AA1"/>
    <w:pPr>
      <w:spacing w:after="0" w:line="240" w:lineRule="auto"/>
    </w:pPr>
    <w:rPr>
      <w:rFonts w:ascii="Times New Roman" w:eastAsia="Batang" w:hAnsi="Times New Roman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MARC</dc:creator>
  <cp:keywords/>
  <dc:description/>
  <cp:lastModifiedBy>Aurelien MARC</cp:lastModifiedBy>
  <cp:revision>2</cp:revision>
  <dcterms:created xsi:type="dcterms:W3CDTF">2021-07-28T12:59:00Z</dcterms:created>
  <dcterms:modified xsi:type="dcterms:W3CDTF">2021-07-28T13:00:00Z</dcterms:modified>
</cp:coreProperties>
</file>