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2CDB" w14:textId="6779A8C5" w:rsidR="00706B08" w:rsidRPr="00EC1D39" w:rsidRDefault="00371244" w:rsidP="00706B08">
      <w:pPr>
        <w:pStyle w:val="EndNoteBibliography"/>
        <w:rPr>
          <w:b/>
          <w:bCs/>
          <w:noProof w:val="0"/>
        </w:rPr>
      </w:pPr>
      <w:r w:rsidRPr="00EC1D39">
        <w:rPr>
          <w:b/>
          <w:bCs/>
          <w:noProof w:val="0"/>
        </w:rPr>
        <w:t>Supplementary File 1</w:t>
      </w:r>
      <w:r w:rsidR="00706B08" w:rsidRPr="00EC1D39">
        <w:rPr>
          <w:b/>
          <w:bCs/>
          <w:noProof w:val="0"/>
        </w:rPr>
        <w:t xml:space="preserve">. Estimated parameters of the three </w:t>
      </w:r>
      <w:proofErr w:type="gramStart"/>
      <w:r w:rsidR="00706B08" w:rsidRPr="00EC1D39">
        <w:rPr>
          <w:b/>
          <w:bCs/>
          <w:noProof w:val="0"/>
        </w:rPr>
        <w:t>models</w:t>
      </w:r>
      <w:proofErr w:type="gramEnd"/>
    </w:p>
    <w:tbl>
      <w:tblPr>
        <w:tblStyle w:val="1"/>
        <w:tblpPr w:leftFromText="142" w:rightFromText="142" w:vertAnchor="text" w:horzAnchor="margin" w:tblpY="79"/>
        <w:tblW w:w="10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250"/>
        <w:gridCol w:w="1710"/>
        <w:gridCol w:w="1710"/>
        <w:gridCol w:w="1460"/>
      </w:tblGrid>
      <w:tr w:rsidR="00EC1D39" w:rsidRPr="00EC1D39" w14:paraId="09659175" w14:textId="77777777" w:rsidTr="00136E50">
        <w:tc>
          <w:tcPr>
            <w:tcW w:w="3330" w:type="dxa"/>
            <w:tcBorders>
              <w:top w:val="single" w:sz="18" w:space="0" w:color="auto"/>
            </w:tcBorders>
            <w:vAlign w:val="center"/>
          </w:tcPr>
          <w:p w14:paraId="3F3391D2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bookmarkStart w:id="0" w:name="_Hlk74056908"/>
            <w:r w:rsidRPr="00EC1D39">
              <w:rPr>
                <w:sz w:val="20"/>
                <w:szCs w:val="20"/>
                <w:lang w:eastAsia="ja-JP"/>
              </w:rPr>
              <w:t>Parameter Name</w:t>
            </w:r>
          </w:p>
        </w:tc>
        <w:tc>
          <w:tcPr>
            <w:tcW w:w="2250" w:type="dxa"/>
            <w:tcBorders>
              <w:top w:val="single" w:sz="18" w:space="0" w:color="auto"/>
            </w:tcBorders>
            <w:vAlign w:val="center"/>
          </w:tcPr>
          <w:p w14:paraId="386DEAF9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Symbol (Unit)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6BDC2972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Baseline model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14:paraId="782EF631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“Eclipse phase” model</w:t>
            </w:r>
          </w:p>
        </w:tc>
        <w:tc>
          <w:tcPr>
            <w:tcW w:w="1460" w:type="dxa"/>
            <w:tcBorders>
              <w:top w:val="single" w:sz="18" w:space="0" w:color="auto"/>
            </w:tcBorders>
            <w:vAlign w:val="center"/>
          </w:tcPr>
          <w:p w14:paraId="3CA7B8B3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“Innate immune response” model</w:t>
            </w:r>
          </w:p>
        </w:tc>
      </w:tr>
      <w:tr w:rsidR="00EC1D39" w:rsidRPr="00EC1D39" w14:paraId="47A57BE0" w14:textId="77777777" w:rsidTr="00136E50">
        <w:trPr>
          <w:cantSplit/>
        </w:trPr>
        <w:tc>
          <w:tcPr>
            <w:tcW w:w="33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89F499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Maximum rate constant for viral replication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7942CE" w14:textId="77777777" w:rsidR="00706B08" w:rsidRPr="00EC1D39" w:rsidRDefault="00706B08" w:rsidP="00136E50">
            <w:pPr>
              <w:contextualSpacing/>
              <w:jc w:val="center"/>
              <w:rPr>
                <w:i/>
                <w:sz w:val="20"/>
                <w:szCs w:val="20"/>
                <w:lang w:eastAsia="ja-JP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  <w:lang w:eastAsia="ja-JP"/>
                </w:rPr>
                <m:t>γ</m:t>
              </m:r>
            </m:oMath>
            <w:r w:rsidRPr="00EC1D39">
              <w:rPr>
                <w:i/>
                <w:sz w:val="20"/>
                <w:szCs w:val="20"/>
                <w:lang w:eastAsia="ja-JP"/>
              </w:rPr>
              <w:t xml:space="preserve"> </w:t>
            </w:r>
            <w:r w:rsidRPr="00EC1D39">
              <w:rPr>
                <w:sz w:val="20"/>
                <w:szCs w:val="20"/>
                <w:lang w:eastAsia="ja-JP"/>
              </w:rPr>
              <w:t>(</w:t>
            </w:r>
            <w:proofErr w:type="gramStart"/>
            <w:r w:rsidRPr="00EC1D39">
              <w:rPr>
                <w:sz w:val="20"/>
                <w:szCs w:val="20"/>
                <w:lang w:eastAsia="ja-JP"/>
              </w:rPr>
              <w:t>day</w:t>
            </w:r>
            <w:proofErr w:type="gramEnd"/>
            <w:r w:rsidRPr="00EC1D39">
              <w:rPr>
                <w:sz w:val="20"/>
                <w:szCs w:val="20"/>
                <w:vertAlign w:val="superscript"/>
                <w:lang w:eastAsia="ja-JP"/>
              </w:rPr>
              <w:t>-1</w:t>
            </w:r>
            <w:r w:rsidRPr="00EC1D39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04E600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vertAlign w:val="superscript"/>
                <w:lang w:eastAsia="ja-JP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3.80</m:t>
                </m:r>
              </m:oMath>
            </m:oMathPara>
          </w:p>
        </w:tc>
        <w:tc>
          <w:tcPr>
            <w:tcW w:w="171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F86FEE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vertAlign w:val="superscript"/>
                <w:lang w:eastAsia="ja-JP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2.87×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6 &amp;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 xml:space="preserve"> </m:t>
                </m:r>
              </m:oMath>
            </m:oMathPara>
          </w:p>
        </w:tc>
        <w:tc>
          <w:tcPr>
            <w:tcW w:w="146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DEAE6CF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eastAsia="ko-KR"/>
                  </w:rPr>
                  <m:t>6.98</m:t>
                </m:r>
              </m:oMath>
            </m:oMathPara>
          </w:p>
        </w:tc>
      </w:tr>
      <w:tr w:rsidR="00EC1D39" w:rsidRPr="00EC1D39" w14:paraId="63D16CCE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E10B3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Rate constant for virus infection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7214" w14:textId="77777777" w:rsidR="00706B08" w:rsidRPr="00EC1D39" w:rsidRDefault="00706B08" w:rsidP="00136E50">
            <w:pPr>
              <w:contextualSpacing/>
              <w:jc w:val="center"/>
              <w:rPr>
                <w:i/>
                <w:sz w:val="20"/>
                <w:szCs w:val="20"/>
                <w:lang w:eastAsia="ja-JP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  <w:lang w:eastAsia="ja-JP"/>
                </w:rPr>
                <m:t>β</m:t>
              </m:r>
            </m:oMath>
            <w:r w:rsidRPr="00EC1D39">
              <w:rPr>
                <w:i/>
                <w:sz w:val="20"/>
                <w:szCs w:val="20"/>
                <w:lang w:eastAsia="ja-JP"/>
              </w:rPr>
              <w:t xml:space="preserve"> </w:t>
            </w:r>
            <w:bookmarkStart w:id="1" w:name="OLE_LINK85"/>
            <w:bookmarkStart w:id="2" w:name="OLE_LINK86"/>
            <w:bookmarkStart w:id="3" w:name="OLE_LINK87"/>
            <w:r w:rsidRPr="00EC1D39">
              <w:rPr>
                <w:iCs/>
                <w:sz w:val="20"/>
                <w:szCs w:val="20"/>
                <w:lang w:eastAsia="ja-JP"/>
              </w:rPr>
              <w:t>(</w:t>
            </w:r>
            <w:r w:rsidRPr="00EC1D39">
              <w:rPr>
                <w:sz w:val="20"/>
                <w:szCs w:val="20"/>
                <w:lang w:eastAsia="ja-JP"/>
              </w:rPr>
              <w:t>[copies/ml]</w:t>
            </w:r>
            <w:r w:rsidRPr="00EC1D39">
              <w:rPr>
                <w:sz w:val="20"/>
                <w:szCs w:val="20"/>
                <w:vertAlign w:val="superscript"/>
                <w:lang w:eastAsia="ja-JP"/>
              </w:rPr>
              <w:t>-1</w:t>
            </w:r>
            <w:r w:rsidRPr="00EC1D39">
              <w:rPr>
                <w:sz w:val="20"/>
                <w:szCs w:val="20"/>
                <w:lang w:eastAsia="ja-JP"/>
              </w:rPr>
              <w:t xml:space="preserve"> day</w:t>
            </w:r>
            <w:r w:rsidRPr="00EC1D39">
              <w:rPr>
                <w:sz w:val="20"/>
                <w:szCs w:val="20"/>
                <w:vertAlign w:val="superscript"/>
                <w:lang w:eastAsia="ja-JP"/>
              </w:rPr>
              <w:t>-1</w:t>
            </w:r>
            <w:bookmarkEnd w:id="1"/>
            <w:bookmarkEnd w:id="2"/>
            <w:bookmarkEnd w:id="3"/>
            <w:r w:rsidRPr="00EC1D39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C34F1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7.9×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7ECEC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4.8×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-6</m:t>
                    </m:r>
                  </m:sup>
                </m:sSup>
              </m:oMath>
            </m:oMathPara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8FEBD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1.6×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-6</m:t>
                    </m:r>
                  </m:sup>
                </m:sSup>
              </m:oMath>
            </m:oMathPara>
          </w:p>
        </w:tc>
      </w:tr>
      <w:tr w:rsidR="00EC1D39" w:rsidRPr="00EC1D39" w14:paraId="0DF27B4A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F3FF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Death rate of infected cells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83B0" w14:textId="77777777" w:rsidR="00706B08" w:rsidRPr="00EC1D39" w:rsidRDefault="00706B08" w:rsidP="00136E50">
            <w:pPr>
              <w:contextualSpacing/>
              <w:jc w:val="center"/>
              <w:rPr>
                <w:i/>
                <w:sz w:val="20"/>
                <w:szCs w:val="20"/>
                <w:vertAlign w:val="superscript"/>
                <w:lang w:eastAsia="ja-JP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  <w:lang w:eastAsia="ja-JP"/>
                </w:rPr>
                <m:t>δ</m:t>
              </m:r>
            </m:oMath>
            <w:r w:rsidRPr="00EC1D39">
              <w:rPr>
                <w:i/>
                <w:sz w:val="20"/>
                <w:szCs w:val="20"/>
                <w:lang w:eastAsia="ja-JP"/>
              </w:rPr>
              <w:t xml:space="preserve"> </w:t>
            </w:r>
            <w:r w:rsidRPr="00EC1D39">
              <w:rPr>
                <w:sz w:val="20"/>
                <w:szCs w:val="20"/>
                <w:lang w:eastAsia="ja-JP"/>
              </w:rPr>
              <w:t>(</w:t>
            </w:r>
            <w:proofErr w:type="gramStart"/>
            <w:r w:rsidRPr="00EC1D39">
              <w:rPr>
                <w:sz w:val="20"/>
                <w:szCs w:val="20"/>
                <w:lang w:eastAsia="ja-JP"/>
              </w:rPr>
              <w:t>day</w:t>
            </w:r>
            <w:proofErr w:type="gramEnd"/>
            <w:r w:rsidRPr="00EC1D39">
              <w:rPr>
                <w:sz w:val="20"/>
                <w:szCs w:val="20"/>
                <w:vertAlign w:val="superscript"/>
                <w:lang w:eastAsia="ja-JP"/>
              </w:rPr>
              <w:t>-1</w:t>
            </w:r>
            <w:r w:rsidRPr="00EC1D39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0A8C4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0.68</m:t>
                </m:r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73906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bookmarkStart w:id="4" w:name="OLE_LINK59"/>
            <w:bookmarkStart w:id="5" w:name="OLE_LINK60"/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0.</m:t>
                </m:r>
                <w:bookmarkEnd w:id="4"/>
                <w:bookmarkEnd w:id="5"/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84</m:t>
                </m:r>
              </m:oMath>
            </m:oMathPara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38281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2.10</m:t>
                </m:r>
              </m:oMath>
            </m:oMathPara>
          </w:p>
        </w:tc>
      </w:tr>
      <w:tr w:rsidR="00EC1D39" w:rsidRPr="00EC1D39" w14:paraId="0F328801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72FE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Viral load at symptom onset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83B16" w14:textId="77777777" w:rsidR="00706B08" w:rsidRPr="00EC1D39" w:rsidRDefault="00706B08" w:rsidP="00136E50">
            <w:pPr>
              <w:contextualSpacing/>
              <w:jc w:val="center"/>
              <w:rPr>
                <w:i/>
                <w:sz w:val="20"/>
                <w:szCs w:val="20"/>
                <w:lang w:eastAsia="ja-JP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  <w:lang w:eastAsia="ja-JP"/>
                </w:rPr>
                <m:t>V(0)</m:t>
              </m:r>
            </m:oMath>
            <w:r w:rsidRPr="00EC1D39">
              <w:rPr>
                <w:sz w:val="20"/>
                <w:szCs w:val="20"/>
                <w:lang w:eastAsia="ja-JP"/>
              </w:rPr>
              <w:t xml:space="preserve"> (copies/ml)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F9966" w14:textId="77777777" w:rsidR="00706B08" w:rsidRPr="00EC1D39" w:rsidRDefault="00706B08" w:rsidP="00136E5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ja-JP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3.3×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CD929" w14:textId="77777777" w:rsidR="00706B08" w:rsidRPr="00EC1D39" w:rsidRDefault="00706B08" w:rsidP="00136E5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ja-JP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5.2×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3E484" w14:textId="77777777" w:rsidR="00706B08" w:rsidRPr="00EC1D39" w:rsidRDefault="00706B08" w:rsidP="00136E50">
            <w:pPr>
              <w:contextualSpacing/>
              <w:jc w:val="center"/>
              <w:rPr>
                <w:rFonts w:eastAsia="Times New Roman"/>
                <w:sz w:val="20"/>
                <w:szCs w:val="20"/>
                <w:lang w:eastAsia="ja-JP"/>
              </w:rPr>
            </w:pPr>
            <w:bookmarkStart w:id="6" w:name="OLE_LINK83"/>
            <w:bookmarkStart w:id="7" w:name="OLE_LINK84"/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393×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4</m:t>
                    </m:r>
                  </m:sup>
                </m:sSup>
              </m:oMath>
            </m:oMathPara>
            <w:bookmarkEnd w:id="6"/>
            <w:bookmarkEnd w:id="7"/>
          </w:p>
        </w:tc>
      </w:tr>
      <w:tr w:rsidR="00EC1D39" w:rsidRPr="00EC1D39" w14:paraId="729EDE9A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83EFE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Ratio of infected cells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56BB2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oMath>
            <w:r w:rsidRPr="00EC1D39">
              <w:rPr>
                <w:sz w:val="20"/>
                <w:szCs w:val="20"/>
              </w:rPr>
              <w:t xml:space="preserve"> (unitless)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141D6" w14:textId="77777777" w:rsidR="00706B08" w:rsidRPr="00EC1D39" w:rsidRDefault="00706B08" w:rsidP="00136E50">
            <w:pPr>
              <w:contextualSpacing/>
              <w:jc w:val="center"/>
              <w:rPr>
                <w:iCs/>
                <w:sz w:val="20"/>
                <w:szCs w:val="20"/>
                <w:lang w:eastAsia="ja-JP"/>
              </w:rPr>
            </w:pPr>
            <w:r w:rsidRPr="00EC1D39">
              <w:rPr>
                <w:iCs/>
                <w:sz w:val="20"/>
                <w:szCs w:val="20"/>
                <w:lang w:eastAsia="ja-JP"/>
              </w:rPr>
              <w:t>--</w:t>
            </w:r>
          </w:p>
        </w:tc>
        <w:bookmarkStart w:id="8" w:name="OLE_LINK80"/>
        <w:bookmarkStart w:id="9" w:name="OLE_LINK81"/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79518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0.1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#</m:t>
                    </m:r>
                  </m:sup>
                </m:sSup>
              </m:oMath>
            </m:oMathPara>
            <w:bookmarkEnd w:id="8"/>
            <w:bookmarkEnd w:id="9"/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F9834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--</w:t>
            </w:r>
          </w:p>
        </w:tc>
      </w:tr>
      <w:tr w:rsidR="00EC1D39" w:rsidRPr="00EC1D39" w14:paraId="2D7D21BD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EA05F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Mean length of eclipse phase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B420A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1/k</m:t>
              </m:r>
            </m:oMath>
            <w:r w:rsidRPr="00EC1D39">
              <w:rPr>
                <w:sz w:val="20"/>
                <w:szCs w:val="20"/>
              </w:rPr>
              <w:t xml:space="preserve"> (day)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15831" w14:textId="77777777" w:rsidR="00706B08" w:rsidRPr="00EC1D39" w:rsidRDefault="00706B08" w:rsidP="00136E50">
            <w:pPr>
              <w:contextualSpacing/>
              <w:jc w:val="center"/>
              <w:rPr>
                <w:iCs/>
                <w:sz w:val="20"/>
                <w:szCs w:val="20"/>
                <w:lang w:eastAsia="ja-JP"/>
              </w:rPr>
            </w:pPr>
            <w:r w:rsidRPr="00EC1D39">
              <w:rPr>
                <w:iCs/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1327C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1/3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A7AFD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--</w:t>
            </w:r>
          </w:p>
        </w:tc>
      </w:tr>
      <w:tr w:rsidR="00EC1D39" w:rsidRPr="00EC1D39" w14:paraId="78712094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423BB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Concentration of INFs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B8F21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eastAsia="ja-JP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e>
              </m:d>
            </m:oMath>
            <w:r w:rsidRPr="00EC1D39">
              <w:rPr>
                <w:sz w:val="20"/>
                <w:szCs w:val="20"/>
                <w:lang w:eastAsia="ja-JP"/>
              </w:rPr>
              <w:t xml:space="preserve"> (</w:t>
            </w:r>
            <w:bookmarkStart w:id="10" w:name="OLE_LINK9"/>
            <w:bookmarkStart w:id="11" w:name="OLE_LINK10"/>
            <w:r w:rsidRPr="00EC1D39">
              <w:rPr>
                <w:sz w:val="20"/>
                <w:szCs w:val="20"/>
                <w:lang w:eastAsia="ja-JP"/>
              </w:rPr>
              <w:t>concentration</w:t>
            </w:r>
            <w:bookmarkEnd w:id="10"/>
            <w:bookmarkEnd w:id="11"/>
            <w:r w:rsidRPr="00EC1D39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EC8CA" w14:textId="77777777" w:rsidR="00706B08" w:rsidRPr="00EC1D39" w:rsidRDefault="00706B08" w:rsidP="00136E50">
            <w:pPr>
              <w:contextualSpacing/>
              <w:jc w:val="center"/>
              <w:rPr>
                <w:iCs/>
                <w:sz w:val="20"/>
                <w:szCs w:val="20"/>
                <w:lang w:eastAsia="ja-JP"/>
              </w:rPr>
            </w:pPr>
            <w:r w:rsidRPr="00EC1D39">
              <w:rPr>
                <w:iCs/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9EB7C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E8DD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eastAsia="ja-JP"/>
                  </w:rPr>
                  <m:t>8.3×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3</m:t>
                    </m:r>
                  </m:sup>
                </m:sSup>
              </m:oMath>
            </m:oMathPara>
          </w:p>
        </w:tc>
      </w:tr>
      <w:tr w:rsidR="00EC1D39" w:rsidRPr="00EC1D39" w14:paraId="611D21B6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BB3BF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Concentration of INFs that produces a half-maximum rate constant for viral replication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B621B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1/η</m:t>
              </m:r>
            </m:oMath>
            <w:r w:rsidRPr="00EC1D39">
              <w:rPr>
                <w:sz w:val="20"/>
                <w:szCs w:val="20"/>
              </w:rPr>
              <w:t xml:space="preserve"> (</w:t>
            </w:r>
            <w:r w:rsidRPr="00EC1D39">
              <w:rPr>
                <w:sz w:val="20"/>
                <w:szCs w:val="20"/>
                <w:lang w:eastAsia="ja-JP"/>
              </w:rPr>
              <w:t>concentration</w:t>
            </w:r>
            <w:r w:rsidRPr="00EC1D39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F76BC" w14:textId="77777777" w:rsidR="00706B08" w:rsidRPr="00EC1D39" w:rsidRDefault="00706B08" w:rsidP="00136E50">
            <w:pPr>
              <w:contextualSpacing/>
              <w:jc w:val="center"/>
              <w:rPr>
                <w:iCs/>
                <w:sz w:val="20"/>
                <w:szCs w:val="20"/>
                <w:lang w:eastAsia="ja-JP"/>
              </w:rPr>
            </w:pPr>
            <w:r w:rsidRPr="00EC1D39">
              <w:rPr>
                <w:iCs/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AC45E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C1B39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1.0×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eastAsia="ja-JP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eastAsia="ja-JP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eastAsia="ja-JP"/>
                          </w:rPr>
                          <m:t>4</m:t>
                        </m:r>
                      </m:sup>
                    </m:sSup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#</m:t>
                    </m:r>
                  </m:sup>
                </m:sSup>
              </m:oMath>
            </m:oMathPara>
          </w:p>
        </w:tc>
      </w:tr>
      <w:tr w:rsidR="00EC1D39" w:rsidRPr="00EC1D39" w14:paraId="4C002C28" w14:textId="77777777" w:rsidTr="00136E50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33250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</w:rPr>
              <w:t>Rate constant which is proportional to secretion of INFs from infected cells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DEFD1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s</m:t>
              </m:r>
            </m:oMath>
            <w:r w:rsidRPr="00EC1D39">
              <w:rPr>
                <w:sz w:val="20"/>
                <w:szCs w:val="20"/>
              </w:rPr>
              <w:t xml:space="preserve"> (</w:t>
            </w:r>
            <w:proofErr w:type="gramStart"/>
            <w:r w:rsidRPr="00EC1D39">
              <w:rPr>
                <w:sz w:val="20"/>
                <w:szCs w:val="20"/>
              </w:rPr>
              <w:t>day</w:t>
            </w:r>
            <w:proofErr w:type="gramEnd"/>
            <w:r w:rsidRPr="00EC1D39">
              <w:rPr>
                <w:sz w:val="20"/>
                <w:szCs w:val="20"/>
                <w:vertAlign w:val="superscript"/>
              </w:rPr>
              <w:t>-1</w:t>
            </w:r>
            <w:r w:rsidRPr="00EC1D39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60D14" w14:textId="77777777" w:rsidR="00706B08" w:rsidRPr="00EC1D39" w:rsidRDefault="00706B08" w:rsidP="00136E50">
            <w:pPr>
              <w:contextualSpacing/>
              <w:jc w:val="center"/>
              <w:rPr>
                <w:iCs/>
                <w:sz w:val="20"/>
                <w:szCs w:val="20"/>
                <w:lang w:eastAsia="ja-JP"/>
              </w:rPr>
            </w:pPr>
            <w:r w:rsidRPr="00EC1D39">
              <w:rPr>
                <w:iCs/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07E2C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549E1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0.01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#</m:t>
                    </m:r>
                  </m:sup>
                </m:sSup>
              </m:oMath>
            </m:oMathPara>
          </w:p>
        </w:tc>
      </w:tr>
      <w:tr w:rsidR="00EC1D39" w:rsidRPr="00EC1D39" w14:paraId="14CFEC17" w14:textId="77777777" w:rsidTr="00136E50">
        <w:tc>
          <w:tcPr>
            <w:tcW w:w="333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DAAD844" w14:textId="77777777" w:rsidR="00706B08" w:rsidRPr="00EC1D39" w:rsidRDefault="00706B08" w:rsidP="00136E50">
            <w:pPr>
              <w:contextualSpacing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Removal rate of IFNs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E378B75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α</m:t>
              </m:r>
            </m:oMath>
            <w:r w:rsidRPr="00EC1D39">
              <w:rPr>
                <w:sz w:val="20"/>
                <w:szCs w:val="20"/>
              </w:rPr>
              <w:t xml:space="preserve"> (</w:t>
            </w:r>
            <w:proofErr w:type="gramStart"/>
            <w:r w:rsidRPr="00EC1D39">
              <w:rPr>
                <w:sz w:val="20"/>
                <w:szCs w:val="20"/>
              </w:rPr>
              <w:t>day</w:t>
            </w:r>
            <w:proofErr w:type="gramEnd"/>
            <w:r w:rsidRPr="00EC1D39">
              <w:rPr>
                <w:sz w:val="20"/>
                <w:szCs w:val="20"/>
                <w:vertAlign w:val="superscript"/>
              </w:rPr>
              <w:t>-1</w:t>
            </w:r>
            <w:r w:rsidRPr="00EC1D39">
              <w:rPr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EDF0C8" w14:textId="77777777" w:rsidR="00706B08" w:rsidRPr="00EC1D39" w:rsidRDefault="00706B08" w:rsidP="00136E50">
            <w:pPr>
              <w:contextualSpacing/>
              <w:jc w:val="center"/>
              <w:rPr>
                <w:iCs/>
                <w:sz w:val="20"/>
                <w:szCs w:val="20"/>
                <w:lang w:eastAsia="ja-JP"/>
              </w:rPr>
            </w:pPr>
            <w:r w:rsidRPr="00EC1D39">
              <w:rPr>
                <w:iCs/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A3AE400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w:r w:rsidRPr="00EC1D39">
              <w:rPr>
                <w:sz w:val="20"/>
                <w:szCs w:val="20"/>
                <w:lang w:eastAsia="ja-JP"/>
              </w:rPr>
              <w:t>--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49A872" w14:textId="77777777" w:rsidR="00706B08" w:rsidRPr="00EC1D39" w:rsidRDefault="00706B08" w:rsidP="00136E50">
            <w:pPr>
              <w:contextualSpacing/>
              <w:jc w:val="center"/>
              <w:rPr>
                <w:sz w:val="20"/>
                <w:szCs w:val="20"/>
                <w:lang w:eastAsia="ja-JP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0.7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eastAsia="ja-JP"/>
                      </w:rPr>
                      <m:t>#</m:t>
                    </m:r>
                  </m:sup>
                </m:sSup>
              </m:oMath>
            </m:oMathPara>
          </w:p>
        </w:tc>
      </w:tr>
      <w:bookmarkEnd w:id="0"/>
    </w:tbl>
    <w:p w14:paraId="04484A8E" w14:textId="77777777" w:rsidR="00980D6C" w:rsidRPr="00EC1D39" w:rsidRDefault="00980D6C" w:rsidP="00371244">
      <w:pPr>
        <w:spacing w:beforeLines="50" w:before="120"/>
        <w:rPr>
          <w:vertAlign w:val="superscript"/>
          <w:lang w:val="en-GB" w:eastAsia="ja-JP"/>
        </w:rPr>
      </w:pPr>
    </w:p>
    <w:p w14:paraId="50F8C810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2C1A8B6B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27950F3F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0FB8B882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3D44F0C9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6B910A17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5EE613BB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189AEB25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2C4B705D" w14:textId="77777777" w:rsidR="00980D6C" w:rsidRPr="00EC1D39" w:rsidRDefault="00980D6C" w:rsidP="00980D6C">
      <w:pPr>
        <w:spacing w:after="160" w:line="259" w:lineRule="auto"/>
        <w:rPr>
          <w:vertAlign w:val="superscript"/>
          <w:lang w:val="en-GB" w:eastAsia="ja-JP"/>
        </w:rPr>
      </w:pPr>
    </w:p>
    <w:p w14:paraId="47042520" w14:textId="652269F6" w:rsidR="00966A76" w:rsidRPr="00EC1D39" w:rsidRDefault="00706B08" w:rsidP="00980D6C">
      <w:pPr>
        <w:spacing w:after="160" w:line="259" w:lineRule="auto"/>
        <w:rPr>
          <w:vertAlign w:val="superscript"/>
          <w:lang w:val="en-GB" w:eastAsia="ja-JP"/>
        </w:rPr>
      </w:pPr>
      <w:r w:rsidRPr="00EC1D39">
        <w:rPr>
          <w:vertAlign w:val="superscript"/>
          <w:lang w:val="en-GB" w:eastAsia="ja-JP"/>
        </w:rPr>
        <w:t>&amp;</w:t>
      </w:r>
      <w:r w:rsidRPr="00EC1D39">
        <w:rPr>
          <w:lang w:val="en-GB" w:eastAsia="ja-JP"/>
        </w:rPr>
        <w:t xml:space="preserve">The unit is </w:t>
      </w:r>
      <w:r w:rsidRPr="00EC1D39">
        <w:rPr>
          <w:lang w:eastAsia="ja-JP"/>
        </w:rPr>
        <w:t xml:space="preserve">[copies/ml] </w:t>
      </w:r>
      <w:proofErr w:type="gramStart"/>
      <w:r w:rsidRPr="00EC1D39">
        <w:rPr>
          <w:lang w:eastAsia="ja-JP"/>
        </w:rPr>
        <w:t>day</w:t>
      </w:r>
      <w:r w:rsidRPr="00EC1D39">
        <w:rPr>
          <w:vertAlign w:val="superscript"/>
          <w:lang w:eastAsia="ja-JP"/>
        </w:rPr>
        <w:t>-1</w:t>
      </w:r>
      <w:proofErr w:type="gramEnd"/>
      <w:r w:rsidRPr="00EC1D39">
        <w:rPr>
          <w:lang w:val="en-GB" w:eastAsia="ja-JP"/>
        </w:rPr>
        <w:t xml:space="preserve">. </w:t>
      </w:r>
      <w:r w:rsidRPr="00EC1D39">
        <w:rPr>
          <w:vertAlign w:val="superscript"/>
          <w:lang w:val="en-GB" w:eastAsia="ja-JP"/>
        </w:rPr>
        <w:t>*</w:t>
      </w:r>
      <w:r w:rsidRPr="00EC1D39">
        <w:rPr>
          <w:lang w:val="en-GB"/>
        </w:rPr>
        <w:t xml:space="preserve">Parameter values are fixed based on previous studies (Gonçalves et al., 2020; </w:t>
      </w:r>
      <w:proofErr w:type="spellStart"/>
      <w:r w:rsidRPr="00EC1D39">
        <w:rPr>
          <w:lang w:val="en-GB"/>
        </w:rPr>
        <w:t>Néant</w:t>
      </w:r>
      <w:proofErr w:type="spellEnd"/>
      <w:r w:rsidRPr="00EC1D39">
        <w:rPr>
          <w:lang w:val="en-GB"/>
        </w:rPr>
        <w:t xml:space="preserve"> et al., 2021). </w:t>
      </w:r>
      <w:r w:rsidRPr="00EC1D39">
        <w:rPr>
          <w:vertAlign w:val="superscript"/>
        </w:rPr>
        <w:t>#</w:t>
      </w:r>
      <w:r w:rsidRPr="00EC1D39">
        <w:t>Parameter values are assumed.</w:t>
      </w:r>
    </w:p>
    <w:sectPr w:rsidR="00966A76" w:rsidRPr="00EC1D39" w:rsidSect="00980D6C">
      <w:pgSz w:w="16838" w:h="11906" w:orient="landscape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6AEA" w14:textId="77777777" w:rsidR="00213E3C" w:rsidRDefault="00213E3C" w:rsidP="00706B08">
      <w:r>
        <w:separator/>
      </w:r>
    </w:p>
  </w:endnote>
  <w:endnote w:type="continuationSeparator" w:id="0">
    <w:p w14:paraId="6405F1BE" w14:textId="77777777" w:rsidR="00213E3C" w:rsidRDefault="00213E3C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ED552" w14:textId="77777777" w:rsidR="00213E3C" w:rsidRDefault="00213E3C" w:rsidP="00706B08">
      <w:r>
        <w:separator/>
      </w:r>
    </w:p>
  </w:footnote>
  <w:footnote w:type="continuationSeparator" w:id="0">
    <w:p w14:paraId="579B9A77" w14:textId="77777777" w:rsidR="00213E3C" w:rsidRDefault="00213E3C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213E3C"/>
    <w:rsid w:val="00371244"/>
    <w:rsid w:val="003739A9"/>
    <w:rsid w:val="00706B08"/>
    <w:rsid w:val="00966A76"/>
    <w:rsid w:val="00980D6C"/>
    <w:rsid w:val="00E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8</cp:revision>
  <dcterms:created xsi:type="dcterms:W3CDTF">2021-06-18T17:36:00Z</dcterms:created>
  <dcterms:modified xsi:type="dcterms:W3CDTF">2021-06-18T17:42:00Z</dcterms:modified>
</cp:coreProperties>
</file>