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727B5C" w14:paraId="7EC178C2" w14:textId="77777777">
        <w:trPr>
          <w:trHeight w:val="509"/>
          <w:jc w:val="center"/>
        </w:trPr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27EEAB" w14:textId="77777777" w:rsidR="00727B5C" w:rsidRDefault="0072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FBDD87" w14:textId="77777777" w:rsidR="00727B5C" w:rsidRDefault="0072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6E61DA" w14:textId="77777777" w:rsidR="00727B5C" w:rsidRDefault="0072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ACD1EC" w14:textId="77777777" w:rsidR="00727B5C" w:rsidRDefault="0072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815" w:type="dxa"/>
            <w:gridSpan w:val="5"/>
            <w:tcBorders>
              <w:top w:val="single" w:sz="12" w:space="0" w:color="000000"/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FE0986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F1 score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03BC3" w14:textId="77777777" w:rsidR="00727B5C" w:rsidRDefault="0072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727B5C" w14:paraId="65726F27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42B145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Rank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979B94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Past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384BBD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Center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BE7CBC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Accuracy</w:t>
            </w:r>
          </w:p>
        </w:tc>
        <w:tc>
          <w:tcPr>
            <w:tcW w:w="963" w:type="dxa"/>
            <w:tcBorders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C40180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N1</w:t>
            </w:r>
          </w:p>
        </w:tc>
        <w:tc>
          <w:tcPr>
            <w:tcW w:w="963" w:type="dxa"/>
            <w:tcBorders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7A7719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N2</w:t>
            </w:r>
          </w:p>
        </w:tc>
        <w:tc>
          <w:tcPr>
            <w:tcW w:w="963" w:type="dxa"/>
            <w:tcBorders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37CDA0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N3</w:t>
            </w:r>
          </w:p>
        </w:tc>
        <w:tc>
          <w:tcPr>
            <w:tcW w:w="963" w:type="dxa"/>
            <w:tcBorders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86145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REM</w:t>
            </w:r>
          </w:p>
        </w:tc>
        <w:tc>
          <w:tcPr>
            <w:tcW w:w="963" w:type="dxa"/>
            <w:tcBorders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186E82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Wake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542DEC" w14:textId="77777777" w:rsidR="00727B5C" w:rsidRDefault="00603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Mean</w:t>
            </w:r>
          </w:p>
        </w:tc>
      </w:tr>
      <w:tr w:rsidR="002C3D52" w14:paraId="6A977C18" w14:textId="77777777">
        <w:trPr>
          <w:trHeight w:val="509"/>
          <w:jc w:val="center"/>
        </w:trPr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1F22C0" w14:textId="0FC5F074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851C0F" w14:textId="7309A4EF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 min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922C1D" w14:textId="046A9244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7.5 min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B32503" w14:textId="6C45C5C9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84.88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9F9AB6" w14:textId="5DC0CCD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26.98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FF21EA" w14:textId="51CA91D1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84.41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C4FA22" w14:textId="00905C43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82.28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BCA206" w14:textId="7B56AD61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81.90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A09873" w14:textId="73BC89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92.29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052635" w14:textId="4ED0D4DE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75.46</w:t>
            </w:r>
          </w:p>
        </w:tc>
      </w:tr>
      <w:tr w:rsidR="002C3D52" w14:paraId="2164FF39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262181" w14:textId="01E06388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E03B5C" w14:textId="68E1F846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522F08" w14:textId="3FFE77F6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E3346C" w14:textId="204CECBD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5F105C" w14:textId="4222D65E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27.12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3A6AA" w14:textId="4D86A778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1D8A5E" w14:textId="41D37FD5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522458" w14:textId="69DBF50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4928E6" w14:textId="365407E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B2CCBA" w14:textId="50BFF425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75.47</w:t>
            </w:r>
          </w:p>
        </w:tc>
      </w:tr>
      <w:tr w:rsidR="002C3D52" w14:paraId="1F61D6A3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6EBCC5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4C9D6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3EFEA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BB900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921EA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AF0E5E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C6DEE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61101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B31E9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A977B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75.42</w:t>
            </w:r>
          </w:p>
        </w:tc>
      </w:tr>
      <w:tr w:rsidR="002C3D52" w14:paraId="0586D0E3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73DF1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415D5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A6244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CB6E1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4AA00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EAE1B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E154B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7C9FC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0AED0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3363C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75.42</w:t>
            </w:r>
          </w:p>
        </w:tc>
      </w:tr>
      <w:tr w:rsidR="002C3D52" w14:paraId="7C71C0BE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084BE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55135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D4E24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FA863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FB57C1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6238F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2F475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D1EED7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C4742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A942B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75.41</w:t>
            </w:r>
          </w:p>
        </w:tc>
      </w:tr>
      <w:tr w:rsidR="002C3D52" w14:paraId="781506FF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FC3DC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DB8FD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2A88B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5.5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CCC61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D8AE9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AD78F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078855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05F97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40739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9E6EF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75.39</w:t>
            </w:r>
          </w:p>
        </w:tc>
      </w:tr>
      <w:tr w:rsidR="002C3D52" w14:paraId="6456F6AE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BA6716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1199F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4CBD46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05FBC6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98B07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B7E29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7D58C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C3CFE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0B327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9D15B7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75.38</w:t>
            </w:r>
          </w:p>
        </w:tc>
      </w:tr>
      <w:tr w:rsidR="002C3D52" w14:paraId="15EB61D7" w14:textId="77777777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24BF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6881D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4A09E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6B5D0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DCBB8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12BF5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429D1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91F95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18357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C8A19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75.36</w:t>
            </w:r>
          </w:p>
        </w:tc>
      </w:tr>
      <w:tr w:rsidR="002C3D52" w14:paraId="5EA48DE9" w14:textId="77777777" w:rsidTr="00053FD4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153C11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AE0C2E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15F67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9BFA3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DB3B9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25.78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8901D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19738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7289DE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1FD27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DA817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75.35</w:t>
            </w:r>
          </w:p>
        </w:tc>
      </w:tr>
      <w:tr w:rsidR="002C3D52" w14:paraId="36CAD3C7" w14:textId="77777777" w:rsidTr="00053FD4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E516E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ABC3E1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86582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5.5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F143C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C15706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344A16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0AFDB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B4398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0F1CE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D37F6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75.35</w:t>
            </w:r>
          </w:p>
        </w:tc>
      </w:tr>
      <w:tr w:rsidR="002C3D52" w14:paraId="6FE48353" w14:textId="77777777" w:rsidTr="00053FD4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2B58D4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FB8731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7E5C4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A63AB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28AB7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26.33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460A2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FF8C67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B9FAE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79.99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DC0FB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53D37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74.88</w:t>
            </w:r>
          </w:p>
        </w:tc>
      </w:tr>
      <w:tr w:rsidR="002C3D52" w14:paraId="59613DD2" w14:textId="77777777" w:rsidTr="00053FD4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8EF41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37411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C9F42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5.5 min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A8C80D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0F6E9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22.83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119455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84.25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744AAF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61F23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951ABE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92.18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2FB5E0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74.63</w:t>
            </w:r>
          </w:p>
        </w:tc>
      </w:tr>
      <w:tr w:rsidR="002C3D52" w14:paraId="4E9CFFA1" w14:textId="77777777" w:rsidTr="00053FD4">
        <w:trPr>
          <w:trHeight w:val="509"/>
          <w:jc w:val="center"/>
        </w:trPr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D8D6A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76D31C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8D841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None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11F3B7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BF7DF7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18.20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500EF9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82.54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5B40AB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81.46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CCD4A3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74.57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063612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91.25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554DF8" w14:textId="77777777" w:rsidR="002C3D52" w:rsidRDefault="002C3D52" w:rsidP="002C3D52">
            <w:pPr>
              <w:widowControl w:val="0"/>
              <w:spacing w:after="0" w:line="240" w:lineRule="auto"/>
              <w:jc w:val="center"/>
            </w:pPr>
            <w:r>
              <w:t>71.79</w:t>
            </w:r>
          </w:p>
        </w:tc>
      </w:tr>
    </w:tbl>
    <w:p w14:paraId="7807A9D6" w14:textId="362A6055" w:rsidR="00727B5C" w:rsidRDefault="00214DE8">
      <w:pPr>
        <w:shd w:val="clear" w:color="auto" w:fill="F3F3F3"/>
        <w:spacing w:before="200" w:after="0" w:line="335" w:lineRule="auto"/>
        <w:rPr>
          <w:b/>
          <w:sz w:val="20"/>
          <w:szCs w:val="20"/>
        </w:rPr>
      </w:pPr>
      <w:r>
        <w:rPr>
          <w:rFonts w:ascii="Open Sans SemiBold" w:eastAsia="Open Sans SemiBold" w:hAnsi="Open Sans SemiBold" w:cs="Open Sans SemiBold"/>
          <w:sz w:val="20"/>
          <w:szCs w:val="20"/>
        </w:rPr>
        <w:t>Supplementary File 3a</w:t>
      </w:r>
      <w:r w:rsidR="00603F45">
        <w:rPr>
          <w:rFonts w:ascii="Open Sans SemiBold" w:eastAsia="Open Sans SemiBold" w:hAnsi="Open Sans SemiBold" w:cs="Open Sans SemiBold"/>
          <w:sz w:val="20"/>
          <w:szCs w:val="20"/>
        </w:rPr>
        <w:t>: Cross-validation of the best time length for the temporal smoothing of the features.</w:t>
      </w:r>
    </w:p>
    <w:p w14:paraId="590B7B97" w14:textId="34479494" w:rsidR="00727B5C" w:rsidRDefault="00603F45">
      <w:pPr>
        <w:shd w:val="clear" w:color="auto" w:fill="F3F3F3"/>
        <w:spacing w:after="0" w:line="335" w:lineRule="auto"/>
        <w:rPr>
          <w:sz w:val="20"/>
          <w:szCs w:val="20"/>
        </w:rPr>
      </w:pPr>
      <w:r>
        <w:rPr>
          <w:sz w:val="20"/>
          <w:szCs w:val="20"/>
        </w:rPr>
        <w:t xml:space="preserve">A total of 49 combinations of past and centered rolling windows were tested, defined as the cartesian product of the following time lengths for the past rolling average: [None, 1 min, 2 min, 3 min, 5 min, 7 min, 9 min] and the centered rolling weighted average: [None, 1.5 min, 2.5 min, 3.5 min, 5.5 min, 7.5 min, 9.5 min], where None indicates that no rolling window was applied. Cross-validation was performed using a 3-fold validation on the full training set, stratified by nights, such that a PSG night was either present in the training and validation set, but never in both at the same time. For speed, only 50 trees were used in the classification algorithm. </w:t>
      </w:r>
      <w:r w:rsidR="00274EBE">
        <w:rPr>
          <w:sz w:val="20"/>
          <w:szCs w:val="20"/>
        </w:rPr>
        <w:t xml:space="preserve">The “Mean” column is the average of the accuracy and the 5 F1-scores. Note that the second best-ranked combination (9.5 min centered) has a slightly higher </w:t>
      </w:r>
      <w:r w:rsidR="00A043EF">
        <w:rPr>
          <w:sz w:val="20"/>
          <w:szCs w:val="20"/>
        </w:rPr>
        <w:t>mean</w:t>
      </w:r>
      <w:r w:rsidR="00274EBE">
        <w:rPr>
          <w:sz w:val="20"/>
          <w:szCs w:val="20"/>
        </w:rPr>
        <w:t xml:space="preserve"> score, however, we chose to use a 7.5 min centered window</w:t>
      </w:r>
      <w:r w:rsidR="00252CDA">
        <w:rPr>
          <w:sz w:val="20"/>
          <w:szCs w:val="20"/>
        </w:rPr>
        <w:t xml:space="preserve"> (rank 1)</w:t>
      </w:r>
      <w:r w:rsidR="00274EBE">
        <w:rPr>
          <w:sz w:val="20"/>
          <w:szCs w:val="20"/>
        </w:rPr>
        <w:t xml:space="preserve"> in our final model because it had higher </w:t>
      </w:r>
      <w:r w:rsidR="0078751A">
        <w:rPr>
          <w:sz w:val="20"/>
          <w:szCs w:val="20"/>
        </w:rPr>
        <w:t>F1-</w:t>
      </w:r>
      <w:r w:rsidR="00274EBE">
        <w:rPr>
          <w:sz w:val="20"/>
          <w:szCs w:val="20"/>
        </w:rPr>
        <w:t xml:space="preserve">scores </w:t>
      </w:r>
      <w:r w:rsidR="0078751A">
        <w:rPr>
          <w:sz w:val="20"/>
          <w:szCs w:val="20"/>
        </w:rPr>
        <w:t xml:space="preserve">for </w:t>
      </w:r>
      <w:r w:rsidR="00274EBE">
        <w:rPr>
          <w:sz w:val="20"/>
          <w:szCs w:val="20"/>
        </w:rPr>
        <w:t xml:space="preserve">N2, N3 and REM </w:t>
      </w:r>
      <w:r w:rsidR="00252CDA">
        <w:rPr>
          <w:sz w:val="20"/>
          <w:szCs w:val="20"/>
        </w:rPr>
        <w:t>sleep.</w:t>
      </w:r>
      <w:r w:rsidR="00274EBE">
        <w:rPr>
          <w:sz w:val="20"/>
          <w:szCs w:val="20"/>
        </w:rPr>
        <w:t xml:space="preserve"> </w:t>
      </w:r>
    </w:p>
    <w:tbl>
      <w:tblPr>
        <w:tblStyle w:val="a0"/>
        <w:tblW w:w="8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3585"/>
        <w:gridCol w:w="2880"/>
      </w:tblGrid>
      <w:tr w:rsidR="00727B5C" w14:paraId="1233D69D" w14:textId="77777777">
        <w:trPr>
          <w:jc w:val="center"/>
        </w:trPr>
        <w:tc>
          <w:tcPr>
            <w:tcW w:w="21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41FF9" w14:textId="77777777" w:rsidR="00727B5C" w:rsidRDefault="00603F45">
            <w:pPr>
              <w:widowControl w:val="0"/>
              <w:spacing w:after="0" w:line="240" w:lineRule="auto"/>
              <w:jc w:val="center"/>
              <w:rPr>
                <w:b/>
              </w:rPr>
            </w:pPr>
            <w:bookmarkStart w:id="0" w:name="_s7cw4jyj8pfx" w:colFirst="0" w:colLast="0"/>
            <w:bookmarkEnd w:id="0"/>
            <w:r>
              <w:rPr>
                <w:b/>
              </w:rPr>
              <w:lastRenderedPageBreak/>
              <w:t>Rank</w:t>
            </w:r>
          </w:p>
        </w:tc>
        <w:tc>
          <w:tcPr>
            <w:tcW w:w="3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B74CA" w14:textId="77777777" w:rsidR="00727B5C" w:rsidRDefault="00603F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Features</w:t>
            </w:r>
          </w:p>
        </w:tc>
        <w:tc>
          <w:tcPr>
            <w:tcW w:w="2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C415A" w14:textId="77777777" w:rsidR="00727B5C" w:rsidRDefault="00603F4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%Importance</w:t>
            </w:r>
          </w:p>
        </w:tc>
      </w:tr>
      <w:tr w:rsidR="00727B5C" w14:paraId="72D5841C" w14:textId="77777777">
        <w:trPr>
          <w:jc w:val="center"/>
        </w:trPr>
        <w:tc>
          <w:tcPr>
            <w:tcW w:w="217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D125C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763EA6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% N1 sleep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4E170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20.70</w:t>
            </w:r>
          </w:p>
        </w:tc>
      </w:tr>
      <w:tr w:rsidR="00727B5C" w14:paraId="2D53C1B8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A2508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AB44F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 xml:space="preserve">% </w:t>
            </w:r>
            <w:proofErr w:type="gramStart"/>
            <w:r>
              <w:t>stage</w:t>
            </w:r>
            <w:proofErr w:type="gramEnd"/>
            <w:r>
              <w:t xml:space="preserve"> transitions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80FC16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20.19</w:t>
            </w:r>
          </w:p>
        </w:tc>
      </w:tr>
      <w:tr w:rsidR="00727B5C" w14:paraId="68879648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B6EA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101EEE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AHI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7F87B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8.32</w:t>
            </w:r>
          </w:p>
        </w:tc>
      </w:tr>
      <w:tr w:rsidR="00727B5C" w14:paraId="4ED557FA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D379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69E01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% N2 sleep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C5A19A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8.16</w:t>
            </w:r>
          </w:p>
        </w:tc>
      </w:tr>
      <w:tr w:rsidR="00727B5C" w14:paraId="7074322D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CF326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28F722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% N3 sleep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9DB6A2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7.92</w:t>
            </w:r>
          </w:p>
        </w:tc>
      </w:tr>
      <w:tr w:rsidR="00727B5C" w14:paraId="166E9F79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5D392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825F2E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 xml:space="preserve">% </w:t>
            </w:r>
            <w:proofErr w:type="gramStart"/>
            <w:r>
              <w:t>wakefulness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8A4B1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7.80</w:t>
            </w:r>
          </w:p>
        </w:tc>
      </w:tr>
      <w:tr w:rsidR="00727B5C" w14:paraId="0D0F61D0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8A5B2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29751A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% REM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7E65AC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5.94</w:t>
            </w:r>
          </w:p>
        </w:tc>
      </w:tr>
      <w:tr w:rsidR="00727B5C" w14:paraId="44F37DEB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127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588DDB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Total duration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4700B9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5.77</w:t>
            </w:r>
          </w:p>
        </w:tc>
      </w:tr>
      <w:tr w:rsidR="00727B5C" w14:paraId="25ABF171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26980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06382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BMI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A421A8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4.95</w:t>
            </w:r>
          </w:p>
        </w:tc>
      </w:tr>
      <w:tr w:rsidR="00727B5C" w14:paraId="0C233BFD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A337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7678DD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07751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4.81</w:t>
            </w:r>
          </w:p>
        </w:tc>
      </w:tr>
      <w:tr w:rsidR="00727B5C" w14:paraId="360BD99C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1038B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B1D2E7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Sex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F48E8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1.55</w:t>
            </w:r>
          </w:p>
        </w:tc>
      </w:tr>
      <w:tr w:rsidR="00727B5C" w14:paraId="0C7D69C0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7FB20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5A0970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Hypertension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28EF9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1.11</w:t>
            </w:r>
          </w:p>
        </w:tc>
      </w:tr>
      <w:tr w:rsidR="00727B5C" w14:paraId="3C27AAE2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EAD10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520F22" w14:textId="77777777" w:rsidR="00727B5C" w:rsidRDefault="00603F45">
            <w:pPr>
              <w:widowControl w:val="0"/>
              <w:spacing w:after="0" w:line="240" w:lineRule="auto"/>
              <w:jc w:val="center"/>
            </w:pPr>
            <w:proofErr w:type="spellStart"/>
            <w:r>
              <w:t>Diabete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1B80C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0.91</w:t>
            </w:r>
          </w:p>
        </w:tc>
      </w:tr>
      <w:tr w:rsidR="00727B5C" w14:paraId="0256CCF1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3651C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DAC82D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Race (</w:t>
            </w:r>
            <w:proofErr w:type="spellStart"/>
            <w:r>
              <w:t>caucasian</w:t>
            </w:r>
            <w:proofErr w:type="spellEnd"/>
            <w: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3E3A7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0.59</w:t>
            </w:r>
          </w:p>
        </w:tc>
      </w:tr>
      <w:tr w:rsidR="00727B5C" w14:paraId="77D73CD9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0F2D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722D2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Race (</w:t>
            </w:r>
            <w:proofErr w:type="spellStart"/>
            <w:r>
              <w:t>african</w:t>
            </w:r>
            <w:proofErr w:type="spellEnd"/>
            <w: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3A2CD8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0.52</w:t>
            </w:r>
          </w:p>
        </w:tc>
      </w:tr>
      <w:tr w:rsidR="00727B5C" w14:paraId="1A11B469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63DA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B7196F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Depression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57B04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0.31</w:t>
            </w:r>
          </w:p>
        </w:tc>
      </w:tr>
      <w:tr w:rsidR="00727B5C" w14:paraId="079C55CD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2F138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2CB95B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Race (</w:t>
            </w:r>
            <w:proofErr w:type="spellStart"/>
            <w:r>
              <w:t>asian</w:t>
            </w:r>
            <w:proofErr w:type="spellEnd"/>
            <w:r>
              <w:t xml:space="preserve"> or pacific islander)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CF7A86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0.24</w:t>
            </w:r>
          </w:p>
        </w:tc>
      </w:tr>
      <w:tr w:rsidR="00727B5C" w14:paraId="5A696B13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45B43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7DDF40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Race (</w:t>
            </w:r>
            <w:proofErr w:type="spellStart"/>
            <w:r>
              <w:t>hispanic</w:t>
            </w:r>
            <w:proofErr w:type="spellEnd"/>
            <w: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EA5FC9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0.17</w:t>
            </w:r>
          </w:p>
        </w:tc>
      </w:tr>
      <w:tr w:rsidR="00727B5C" w14:paraId="1E0B7EA8" w14:textId="77777777">
        <w:trPr>
          <w:jc w:val="center"/>
        </w:trPr>
        <w:tc>
          <w:tcPr>
            <w:tcW w:w="217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D9591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9F9119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Insomnia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8E597B" w14:textId="77777777" w:rsidR="00727B5C" w:rsidRDefault="00603F45">
            <w:pPr>
              <w:widowControl w:val="0"/>
              <w:spacing w:after="0" w:line="240" w:lineRule="auto"/>
              <w:jc w:val="center"/>
            </w:pPr>
            <w:r>
              <w:t>0.05</w:t>
            </w:r>
          </w:p>
        </w:tc>
      </w:tr>
    </w:tbl>
    <w:p w14:paraId="3A06A4A2" w14:textId="6F5354CB" w:rsidR="00727B5C" w:rsidRDefault="001F1423">
      <w:pPr>
        <w:shd w:val="clear" w:color="auto" w:fill="F3F3F3"/>
        <w:spacing w:before="200" w:after="0" w:line="335" w:lineRule="auto"/>
        <w:rPr>
          <w:b/>
          <w:sz w:val="20"/>
          <w:szCs w:val="20"/>
        </w:rPr>
      </w:pPr>
      <w:r>
        <w:rPr>
          <w:rFonts w:ascii="Open Sans SemiBold" w:eastAsia="Open Sans SemiBold" w:hAnsi="Open Sans SemiBold" w:cs="Open Sans SemiBold"/>
          <w:sz w:val="20"/>
          <w:szCs w:val="20"/>
        </w:rPr>
        <w:t>Supplementary File 3b</w:t>
      </w:r>
      <w:r w:rsidR="00603F45">
        <w:rPr>
          <w:rFonts w:ascii="Open Sans SemiBold" w:eastAsia="Open Sans SemiBold" w:hAnsi="Open Sans SemiBold" w:cs="Open Sans SemiBold"/>
          <w:sz w:val="20"/>
          <w:szCs w:val="20"/>
        </w:rPr>
        <w:t>: Contributors of variability in accuracy.</w:t>
      </w:r>
    </w:p>
    <w:p w14:paraId="5D312A94" w14:textId="39A24F41" w:rsidR="00727B5C" w:rsidRDefault="00603F45" w:rsidP="001F1423">
      <w:pPr>
        <w:shd w:val="clear" w:color="auto" w:fill="F3F3F3"/>
        <w:spacing w:after="0" w:line="335" w:lineRule="auto"/>
      </w:pPr>
      <w:r>
        <w:rPr>
          <w:sz w:val="20"/>
          <w:szCs w:val="20"/>
        </w:rPr>
        <w:t>Relative importance (%) was estimated with a random forest on n=585 nights from the testing set 1. The outcome variable of the model was the accuracy score of YASA against ground-truth sleep staging, calculated separately for each night.</w:t>
      </w:r>
      <w:bookmarkStart w:id="1" w:name="_g86gn5k63etj" w:colFirst="0" w:colLast="0"/>
      <w:bookmarkStart w:id="2" w:name="_bpmbfhclz16d" w:colFirst="0" w:colLast="0"/>
      <w:bookmarkEnd w:id="1"/>
      <w:bookmarkEnd w:id="2"/>
    </w:p>
    <w:sectPr w:rsidR="00727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7" w:right="1137" w:bottom="1137" w:left="113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746A" w14:textId="77777777" w:rsidR="00946651" w:rsidRDefault="00946651">
      <w:pPr>
        <w:spacing w:after="0" w:line="240" w:lineRule="auto"/>
      </w:pPr>
      <w:r>
        <w:separator/>
      </w:r>
    </w:p>
  </w:endnote>
  <w:endnote w:type="continuationSeparator" w:id="0">
    <w:p w14:paraId="1050AC57" w14:textId="77777777" w:rsidR="00946651" w:rsidRDefault="0094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678D" w14:textId="77777777" w:rsidR="001F1423" w:rsidRDefault="001F1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096B" w14:textId="77777777" w:rsidR="00727B5C" w:rsidRDefault="00603F45">
    <w:pPr>
      <w:jc w:val="right"/>
    </w:pPr>
    <w:r>
      <w:fldChar w:fldCharType="begin"/>
    </w:r>
    <w:r>
      <w:instrText>PAGE</w:instrText>
    </w:r>
    <w:r>
      <w:fldChar w:fldCharType="separate"/>
    </w:r>
    <w:r w:rsidR="001F142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BC4C" w14:textId="77777777" w:rsidR="00727B5C" w:rsidRDefault="00727B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936C" w14:textId="77777777" w:rsidR="00946651" w:rsidRDefault="00946651">
      <w:pPr>
        <w:spacing w:after="0" w:line="240" w:lineRule="auto"/>
      </w:pPr>
      <w:r>
        <w:separator/>
      </w:r>
    </w:p>
  </w:footnote>
  <w:footnote w:type="continuationSeparator" w:id="0">
    <w:p w14:paraId="5C2B3623" w14:textId="77777777" w:rsidR="00946651" w:rsidRDefault="0094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6589" w14:textId="77777777" w:rsidR="001F1423" w:rsidRDefault="001F1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6796" w14:textId="77777777" w:rsidR="001F1423" w:rsidRDefault="001F1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B610" w14:textId="77777777" w:rsidR="001F1423" w:rsidRDefault="001F1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5C"/>
    <w:rsid w:val="00053FD4"/>
    <w:rsid w:val="001F1423"/>
    <w:rsid w:val="00214DE8"/>
    <w:rsid w:val="00252CDA"/>
    <w:rsid w:val="00274EBE"/>
    <w:rsid w:val="002C3D52"/>
    <w:rsid w:val="00603F45"/>
    <w:rsid w:val="00727B5C"/>
    <w:rsid w:val="0078751A"/>
    <w:rsid w:val="00945587"/>
    <w:rsid w:val="00946651"/>
    <w:rsid w:val="00A043EF"/>
    <w:rsid w:val="00E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E5D40"/>
  <w15:docId w15:val="{4BAA16F7-3C1E-C141-A46B-6D30F092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/>
      <w:outlineLvl w:val="0"/>
    </w:pPr>
    <w:rPr>
      <w:b/>
      <w:color w:val="0B539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  <w:color w:val="43434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80"/>
      <w:ind w:left="720" w:hanging="360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6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60"/>
      <w:jc w:val="center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23"/>
  </w:style>
  <w:style w:type="paragraph" w:styleId="Footer">
    <w:name w:val="footer"/>
    <w:basedOn w:val="Normal"/>
    <w:link w:val="FooterChar"/>
    <w:uiPriority w:val="99"/>
    <w:unhideWhenUsed/>
    <w:rsid w:val="001F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Vallat</cp:lastModifiedBy>
  <cp:revision>11</cp:revision>
  <dcterms:created xsi:type="dcterms:W3CDTF">2021-08-12T16:30:00Z</dcterms:created>
  <dcterms:modified xsi:type="dcterms:W3CDTF">2021-09-21T00:32:00Z</dcterms:modified>
</cp:coreProperties>
</file>