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9E45" w14:textId="77777777" w:rsidR="00C12670" w:rsidRPr="003E0CDB" w:rsidRDefault="00C12670" w:rsidP="00C12670">
      <w:pPr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</w:pPr>
      <w:r w:rsidRPr="003E0CDB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  <w:t xml:space="preserve">Figure </w:t>
      </w:r>
      <w:r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  <w:t>1</w:t>
      </w:r>
      <w:r w:rsidRPr="003E0CDB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  <w:t>-</w:t>
      </w:r>
      <w:r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  <w:t>Source Data</w:t>
      </w:r>
      <w:r w:rsidRPr="003E0CDB"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b/>
          <w:bCs/>
          <w:color w:val="000000" w:themeColor="text1"/>
          <w:sz w:val="23"/>
          <w:szCs w:val="23"/>
        </w:rPr>
        <w:t>2</w:t>
      </w:r>
    </w:p>
    <w:tbl>
      <w:tblPr>
        <w:tblStyle w:val="TableGrid4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094"/>
        <w:gridCol w:w="711"/>
        <w:gridCol w:w="1638"/>
        <w:gridCol w:w="1576"/>
        <w:gridCol w:w="1745"/>
        <w:gridCol w:w="1346"/>
        <w:gridCol w:w="1250"/>
      </w:tblGrid>
      <w:tr w:rsidR="00C12670" w14:paraId="4B8638C3" w14:textId="77777777" w:rsidTr="00CD1297">
        <w:trPr>
          <w:jc w:val="center"/>
        </w:trPr>
        <w:tc>
          <w:tcPr>
            <w:tcW w:w="584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0B77B1B" w14:textId="77777777" w:rsidR="00C12670" w:rsidRPr="0047200F" w:rsidRDefault="00C12670" w:rsidP="00CD1297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7200F">
              <w:rPr>
                <w:rFonts w:cs="Arial"/>
                <w:b/>
                <w:sz w:val="18"/>
                <w:szCs w:val="18"/>
              </w:rPr>
              <w:t>RNA</w:t>
            </w:r>
            <w:r w:rsidRPr="003E0CDB">
              <w:rPr>
                <w:rFonts w:cs="Arial"/>
                <w:b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80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9FAA3EF" w14:textId="77777777" w:rsidR="00C12670" w:rsidRPr="0047200F" w:rsidRDefault="00C12670" w:rsidP="00CD129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200F">
              <w:rPr>
                <w:rFonts w:cs="Arial"/>
                <w:b/>
                <w:sz w:val="18"/>
                <w:szCs w:val="18"/>
              </w:rPr>
              <w:t>N</w:t>
            </w:r>
            <w:r w:rsidRPr="003E0CDB">
              <w:rPr>
                <w:rFonts w:cs="Arial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5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F6FDBAC" w14:textId="77777777" w:rsidR="00C12670" w:rsidRPr="0047200F" w:rsidRDefault="00C12670" w:rsidP="00CD129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200F">
              <w:rPr>
                <w:rFonts w:cs="Arial"/>
                <w:b/>
                <w:sz w:val="18"/>
                <w:szCs w:val="18"/>
              </w:rPr>
              <w:t>Tau</w:t>
            </w:r>
            <w:r>
              <w:rPr>
                <w:rFonts w:cs="Arial"/>
                <w:b/>
                <w:sz w:val="18"/>
                <w:szCs w:val="18"/>
              </w:rPr>
              <w:t>0</w:t>
            </w:r>
            <w:r w:rsidRPr="0047200F">
              <w:rPr>
                <w:rFonts w:cs="Arial"/>
                <w:b/>
                <w:sz w:val="18"/>
                <w:szCs w:val="18"/>
              </w:rPr>
              <w:t xml:space="preserve"> (</w:t>
            </w:r>
            <w:r w:rsidRPr="0047200F">
              <w:rPr>
                <w:rFonts w:ascii="Cambria" w:hAnsi="Cambria" w:cs="Arial"/>
                <w:b/>
                <w:sz w:val="18"/>
                <w:szCs w:val="18"/>
              </w:rPr>
              <w:t>τ</w:t>
            </w:r>
            <w:r w:rsidRPr="00C46ACA">
              <w:rPr>
                <w:rFonts w:ascii="Cambria" w:hAnsi="Cambria" w:cs="Arial"/>
                <w:b/>
                <w:sz w:val="18"/>
                <w:szCs w:val="18"/>
                <w:vertAlign w:val="subscript"/>
              </w:rPr>
              <w:t>0</w:t>
            </w:r>
            <w:r w:rsidRPr="0047200F">
              <w:rPr>
                <w:rFonts w:cs="Arial"/>
                <w:b/>
                <w:sz w:val="18"/>
                <w:szCs w:val="18"/>
                <w:vertAlign w:val="subscript"/>
              </w:rPr>
              <w:t xml:space="preserve">, </w:t>
            </w:r>
            <w:r w:rsidRPr="0047200F">
              <w:rPr>
                <w:rFonts w:cs="Arial"/>
                <w:b/>
                <w:sz w:val="18"/>
                <w:szCs w:val="18"/>
              </w:rPr>
              <w:t>s)</w:t>
            </w:r>
          </w:p>
        </w:tc>
        <w:tc>
          <w:tcPr>
            <w:tcW w:w="842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14B12C6" w14:textId="77777777" w:rsidR="00C12670" w:rsidRPr="0047200F" w:rsidRDefault="00C12670" w:rsidP="00CD129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200F">
              <w:rPr>
                <w:rFonts w:cs="Arial"/>
                <w:b/>
                <w:sz w:val="18"/>
                <w:szCs w:val="18"/>
              </w:rPr>
              <w:t>Tau1 (</w:t>
            </w:r>
            <w:proofErr w:type="spellStart"/>
            <w:r w:rsidRPr="0047200F">
              <w:rPr>
                <w:rFonts w:ascii="Cambria" w:hAnsi="Cambria" w:cs="Arial"/>
                <w:b/>
                <w:sz w:val="18"/>
                <w:szCs w:val="18"/>
              </w:rPr>
              <w:t>τ</w:t>
            </w:r>
            <w:r w:rsidRPr="0047200F">
              <w:rPr>
                <w:rFonts w:cs="Arial"/>
                <w:b/>
                <w:sz w:val="18"/>
                <w:szCs w:val="18"/>
                <w:vertAlign w:val="subscript"/>
              </w:rPr>
              <w:t>S</w:t>
            </w:r>
            <w:proofErr w:type="spellEnd"/>
            <w:r w:rsidRPr="0047200F">
              <w:rPr>
                <w:rFonts w:cs="Arial"/>
                <w:b/>
                <w:sz w:val="18"/>
                <w:szCs w:val="18"/>
                <w:vertAlign w:val="subscript"/>
              </w:rPr>
              <w:t xml:space="preserve">, </w:t>
            </w:r>
            <w:r w:rsidRPr="0047200F">
              <w:rPr>
                <w:rFonts w:cs="Arial"/>
                <w:b/>
                <w:sz w:val="18"/>
                <w:szCs w:val="18"/>
              </w:rPr>
              <w:t>s)</w:t>
            </w:r>
          </w:p>
        </w:tc>
        <w:tc>
          <w:tcPr>
            <w:tcW w:w="932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81C2618" w14:textId="77777777" w:rsidR="00C12670" w:rsidRPr="0047200F" w:rsidRDefault="00C12670" w:rsidP="00CD129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7200F">
              <w:rPr>
                <w:rFonts w:cs="Arial"/>
                <w:b/>
                <w:sz w:val="18"/>
                <w:szCs w:val="18"/>
              </w:rPr>
              <w:t>Tau2 (</w:t>
            </w:r>
            <w:proofErr w:type="spellStart"/>
            <w:r w:rsidRPr="0047200F">
              <w:rPr>
                <w:rFonts w:ascii="Cambria" w:hAnsi="Cambria" w:cs="Arial"/>
                <w:b/>
                <w:sz w:val="18"/>
                <w:szCs w:val="18"/>
              </w:rPr>
              <w:t>τ</w:t>
            </w:r>
            <w:r w:rsidRPr="0047200F">
              <w:rPr>
                <w:rFonts w:ascii="Cambria" w:hAnsi="Cambria" w:cs="Arial"/>
                <w:b/>
                <w:sz w:val="18"/>
                <w:szCs w:val="18"/>
                <w:vertAlign w:val="subscript"/>
              </w:rPr>
              <w:t>L</w:t>
            </w:r>
            <w:proofErr w:type="spellEnd"/>
            <w:r w:rsidRPr="0047200F">
              <w:rPr>
                <w:rFonts w:ascii="Cambria" w:hAnsi="Cambria" w:cs="Arial"/>
                <w:b/>
                <w:sz w:val="18"/>
                <w:szCs w:val="18"/>
                <w:vertAlign w:val="subscript"/>
              </w:rPr>
              <w:t xml:space="preserve">, </w:t>
            </w:r>
            <w:r w:rsidRPr="0047200F">
              <w:rPr>
                <w:rFonts w:cs="Arial"/>
                <w:b/>
                <w:sz w:val="18"/>
                <w:szCs w:val="18"/>
              </w:rPr>
              <w:t>s)</w:t>
            </w:r>
          </w:p>
        </w:tc>
        <w:tc>
          <w:tcPr>
            <w:tcW w:w="719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AEE63C7" w14:textId="77777777" w:rsidR="00C12670" w:rsidRPr="0047200F" w:rsidRDefault="00C12670" w:rsidP="00CD1297">
            <w:pPr>
              <w:jc w:val="center"/>
              <w:rPr>
                <w:rFonts w:cs="Arial"/>
                <w:sz w:val="18"/>
                <w:szCs w:val="18"/>
              </w:rPr>
            </w:pPr>
            <w:r w:rsidRPr="0047200F">
              <w:rPr>
                <w:rFonts w:cs="Arial"/>
                <w:b/>
                <w:sz w:val="18"/>
                <w:szCs w:val="18"/>
              </w:rPr>
              <w:t>A</w:t>
            </w:r>
            <w:r w:rsidRPr="00C46ACA">
              <w:rPr>
                <w:rFonts w:cs="Arial"/>
                <w:b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668" w:type="pct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467682D6" w14:textId="77777777" w:rsidR="00C12670" w:rsidRPr="0047200F" w:rsidDel="0039670B" w:rsidRDefault="00C12670" w:rsidP="00CD1297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7200F">
              <w:rPr>
                <w:rFonts w:cs="Arial"/>
                <w:b/>
                <w:sz w:val="18"/>
                <w:szCs w:val="18"/>
              </w:rPr>
              <w:t>LLR</w:t>
            </w:r>
            <w:r w:rsidRPr="003E0CDB">
              <w:rPr>
                <w:rFonts w:cs="Arial"/>
                <w:b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C12670" w14:paraId="5E3739BF" w14:textId="77777777" w:rsidTr="00CD1297">
        <w:trPr>
          <w:trHeight w:val="461"/>
          <w:jc w:val="center"/>
        </w:trPr>
        <w:tc>
          <w:tcPr>
            <w:tcW w:w="5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3C75B1" w14:textId="77777777" w:rsidR="00C12670" w:rsidRPr="0047200F" w:rsidRDefault="00C12670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200F">
              <w:rPr>
                <w:rFonts w:cs="Arial"/>
                <w:b/>
                <w:sz w:val="20"/>
                <w:szCs w:val="20"/>
              </w:rPr>
              <w:t>RNA-10</w:t>
            </w:r>
          </w:p>
        </w:tc>
        <w:tc>
          <w:tcPr>
            <w:tcW w:w="3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7BF3DF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8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47937E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155.0</w:t>
            </w:r>
            <w:r w:rsidRPr="0047200F">
              <w:rPr>
                <w:rFonts w:cs="Arial"/>
                <w:sz w:val="20"/>
                <w:szCs w:val="20"/>
              </w:rPr>
              <w:t xml:space="preserve"> ± </w:t>
            </w:r>
            <w:r>
              <w:rPr>
                <w:rFonts w:cs="Arial"/>
                <w:sz w:val="20"/>
                <w:szCs w:val="20"/>
              </w:rPr>
              <w:t>14.0</w:t>
            </w:r>
          </w:p>
        </w:tc>
        <w:tc>
          <w:tcPr>
            <w:tcW w:w="84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7F22EAD" w14:textId="77777777" w:rsidR="00C12670" w:rsidRPr="003E0CDB" w:rsidRDefault="00C12670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49.2 ± 15.5</w:t>
            </w:r>
          </w:p>
        </w:tc>
        <w:tc>
          <w:tcPr>
            <w:tcW w:w="93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0F57DE4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47200F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55.4</w:t>
            </w:r>
            <w:r w:rsidRPr="0047200F">
              <w:rPr>
                <w:rFonts w:cs="Arial"/>
                <w:sz w:val="20"/>
                <w:szCs w:val="20"/>
              </w:rPr>
              <w:t xml:space="preserve"> ± </w:t>
            </w:r>
            <w:r>
              <w:rPr>
                <w:rFonts w:cs="Arial"/>
                <w:sz w:val="20"/>
                <w:szCs w:val="20"/>
              </w:rPr>
              <w:t>115.3</w:t>
            </w:r>
          </w:p>
        </w:tc>
        <w:tc>
          <w:tcPr>
            <w:tcW w:w="71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4EB3B8A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47200F">
              <w:rPr>
                <w:rFonts w:cs="Arial"/>
                <w:sz w:val="20"/>
                <w:szCs w:val="20"/>
              </w:rPr>
              <w:t>0.</w:t>
            </w:r>
            <w:r>
              <w:rPr>
                <w:rFonts w:cs="Arial"/>
                <w:sz w:val="20"/>
                <w:szCs w:val="20"/>
              </w:rPr>
              <w:t>39</w:t>
            </w:r>
            <w:r w:rsidRPr="0047200F">
              <w:rPr>
                <w:rFonts w:cs="Arial"/>
                <w:sz w:val="20"/>
                <w:szCs w:val="20"/>
              </w:rPr>
              <w:t xml:space="preserve"> ± 0.1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F580150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3E0CDB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47200F">
              <w:rPr>
                <w:rFonts w:cs="Arial"/>
                <w:sz w:val="20"/>
                <w:szCs w:val="20"/>
              </w:rPr>
              <w:t xml:space="preserve"> &lt; 0.01</w:t>
            </w:r>
          </w:p>
        </w:tc>
      </w:tr>
      <w:tr w:rsidR="00C12670" w14:paraId="332A54EF" w14:textId="77777777" w:rsidTr="00CD1297">
        <w:trPr>
          <w:trHeight w:val="461"/>
          <w:jc w:val="center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F2C82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47200F">
              <w:rPr>
                <w:rFonts w:cs="Arial"/>
                <w:b/>
                <w:sz w:val="20"/>
                <w:szCs w:val="20"/>
              </w:rPr>
              <w:t>RN</w:t>
            </w:r>
            <w:r>
              <w:rPr>
                <w:rFonts w:cs="Arial"/>
                <w:b/>
                <w:sz w:val="20"/>
                <w:szCs w:val="20"/>
              </w:rPr>
              <w:t>A-4+2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B1BB7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26ED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55.1</w:t>
            </w:r>
            <w:r w:rsidRPr="0047200F">
              <w:rPr>
                <w:rFonts w:cs="Arial"/>
                <w:sz w:val="20"/>
                <w:szCs w:val="20"/>
              </w:rPr>
              <w:t xml:space="preserve"> ± </w:t>
            </w:r>
            <w:r>
              <w:rPr>
                <w:rFonts w:cs="Arial"/>
                <w:sz w:val="20"/>
                <w:szCs w:val="20"/>
              </w:rPr>
              <w:t>12.5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3E11" w14:textId="77777777" w:rsidR="00C12670" w:rsidRPr="003E0CDB" w:rsidRDefault="00C12670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7.8</w:t>
            </w:r>
            <w:r w:rsidRPr="0047200F">
              <w:rPr>
                <w:rFonts w:cs="Arial"/>
                <w:sz w:val="20"/>
                <w:szCs w:val="20"/>
              </w:rPr>
              <w:t xml:space="preserve"> ± </w:t>
            </w:r>
            <w:r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0891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214.0</w:t>
            </w:r>
            <w:r w:rsidRPr="0047200F">
              <w:rPr>
                <w:rFonts w:cs="Arial"/>
                <w:sz w:val="20"/>
                <w:szCs w:val="20"/>
              </w:rPr>
              <w:t xml:space="preserve"> ± </w:t>
            </w:r>
            <w:r>
              <w:rPr>
                <w:rFonts w:cs="Arial"/>
                <w:sz w:val="20"/>
                <w:szCs w:val="20"/>
              </w:rPr>
              <w:t>87</w:t>
            </w:r>
            <w:r w:rsidRPr="0047200F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855DA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47200F">
              <w:rPr>
                <w:rFonts w:cs="Arial"/>
                <w:sz w:val="20"/>
                <w:szCs w:val="20"/>
              </w:rPr>
              <w:t>0.</w:t>
            </w:r>
            <w:r>
              <w:rPr>
                <w:rFonts w:cs="Arial"/>
                <w:sz w:val="20"/>
                <w:szCs w:val="20"/>
              </w:rPr>
              <w:t>22</w:t>
            </w:r>
            <w:r w:rsidRPr="0047200F">
              <w:rPr>
                <w:rFonts w:cs="Arial"/>
                <w:sz w:val="20"/>
                <w:szCs w:val="20"/>
              </w:rPr>
              <w:t xml:space="preserve"> ± 0.</w:t>
            </w:r>
            <w:r>
              <w:rPr>
                <w:rFonts w:cs="Arial"/>
                <w:sz w:val="20"/>
                <w:szCs w:val="20"/>
              </w:rPr>
              <w:t>05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2685B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47200F">
              <w:rPr>
                <w:rFonts w:cs="Arial"/>
                <w:i/>
                <w:iCs/>
                <w:sz w:val="20"/>
                <w:szCs w:val="20"/>
              </w:rPr>
              <w:t>p</w:t>
            </w:r>
            <w:r w:rsidRPr="0047200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&lt;</w:t>
            </w:r>
            <w:r w:rsidRPr="0047200F">
              <w:rPr>
                <w:rFonts w:cs="Arial"/>
                <w:sz w:val="20"/>
                <w:szCs w:val="20"/>
              </w:rPr>
              <w:t xml:space="preserve"> 0.</w:t>
            </w:r>
            <w:r>
              <w:rPr>
                <w:rFonts w:cs="Arial"/>
                <w:sz w:val="20"/>
                <w:szCs w:val="20"/>
              </w:rPr>
              <w:t>0</w:t>
            </w:r>
            <w:r w:rsidRPr="0047200F">
              <w:rPr>
                <w:rFonts w:cs="Arial"/>
                <w:sz w:val="20"/>
                <w:szCs w:val="20"/>
              </w:rPr>
              <w:t>1</w:t>
            </w:r>
          </w:p>
        </w:tc>
      </w:tr>
      <w:tr w:rsidR="00C12670" w14:paraId="3C6FEEBB" w14:textId="77777777" w:rsidTr="00CD1297">
        <w:trPr>
          <w:trHeight w:val="461"/>
          <w:jc w:val="center"/>
        </w:trPr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9219F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47200F">
              <w:rPr>
                <w:rFonts w:cs="Arial"/>
                <w:b/>
                <w:sz w:val="20"/>
                <w:szCs w:val="20"/>
              </w:rPr>
              <w:t>RNA-</w:t>
            </w:r>
            <w:r>
              <w:rPr>
                <w:rFonts w:cs="Arial"/>
                <w:b/>
                <w:sz w:val="20"/>
                <w:szCs w:val="20"/>
              </w:rPr>
              <w:t>C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BD7EF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7B961" w14:textId="77777777" w:rsidR="00C12670" w:rsidRPr="0047200F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F71A4" w14:textId="77777777" w:rsidR="00C12670" w:rsidRPr="003E0CDB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76B49" w14:textId="77777777" w:rsidR="00C12670" w:rsidRPr="003E0CDB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B86AB" w14:textId="77777777" w:rsidR="00C12670" w:rsidRPr="003E0CDB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A1BF9" w14:textId="77777777" w:rsidR="00C12670" w:rsidRPr="003E0CDB" w:rsidRDefault="00C12670" w:rsidP="00CD12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D265C85" w14:textId="77777777" w:rsidR="00C12670" w:rsidRDefault="00C12670" w:rsidP="00C12670">
      <w:pPr>
        <w:spacing w:line="240" w:lineRule="auto"/>
        <w:contextualSpacing/>
        <w:rPr>
          <w:bCs/>
        </w:rPr>
      </w:pPr>
      <w:r w:rsidRPr="003E0CDB">
        <w:rPr>
          <w:bCs/>
          <w:vertAlign w:val="superscript"/>
        </w:rPr>
        <w:t xml:space="preserve">a </w:t>
      </w:r>
      <w:r w:rsidRPr="003E0CDB">
        <w:rPr>
          <w:bCs/>
        </w:rPr>
        <w:t>Data collected at 1 frame per second</w:t>
      </w:r>
    </w:p>
    <w:p w14:paraId="33B812F7" w14:textId="77777777" w:rsidR="00C12670" w:rsidRPr="004E5648" w:rsidRDefault="00C12670" w:rsidP="00C12670">
      <w:pPr>
        <w:spacing w:line="240" w:lineRule="auto"/>
        <w:contextualSpacing/>
        <w:rPr>
          <w:bCs/>
        </w:rPr>
      </w:pPr>
      <w:r w:rsidRPr="00C46ACA">
        <w:rPr>
          <w:bCs/>
          <w:vertAlign w:val="superscript"/>
        </w:rPr>
        <w:t>b</w:t>
      </w:r>
      <w:r w:rsidRPr="00E90805">
        <w:rPr>
          <w:rFonts w:cs="Arial"/>
          <w:b/>
        </w:rPr>
        <w:t xml:space="preserve"> </w:t>
      </w:r>
      <w:r w:rsidRPr="00E90805">
        <w:rPr>
          <w:rFonts w:cs="Arial"/>
          <w:bCs/>
        </w:rPr>
        <w:t>Number of dwell times combined from replicates for maximum likelihood estimations of single (</w:t>
      </w:r>
      <w:r w:rsidRPr="00222D71">
        <w:rPr>
          <w:rFonts w:ascii="Cambria" w:hAnsi="Cambria" w:cs="Arial"/>
          <w:bCs/>
          <w:szCs w:val="24"/>
        </w:rPr>
        <w:t>τ</w:t>
      </w:r>
      <w:r>
        <w:rPr>
          <w:rFonts w:cs="Arial"/>
          <w:bCs/>
          <w:szCs w:val="24"/>
          <w:vertAlign w:val="subscript"/>
        </w:rPr>
        <w:t>0</w:t>
      </w:r>
      <w:r w:rsidRPr="00E90805">
        <w:rPr>
          <w:rFonts w:cs="Arial"/>
          <w:bCs/>
        </w:rPr>
        <w:t>) and double exponential distributions (</w:t>
      </w:r>
      <w:proofErr w:type="spellStart"/>
      <w:r w:rsidRPr="00C46ACA">
        <w:rPr>
          <w:rFonts w:ascii="Cambria" w:hAnsi="Cambria" w:cs="Arial"/>
          <w:bCs/>
          <w:szCs w:val="24"/>
        </w:rPr>
        <w:t>τ</w:t>
      </w:r>
      <w:r w:rsidRPr="00C46ACA">
        <w:rPr>
          <w:rFonts w:cs="Arial"/>
          <w:bCs/>
          <w:szCs w:val="24"/>
          <w:vertAlign w:val="subscript"/>
        </w:rPr>
        <w:t>S</w:t>
      </w:r>
      <w:proofErr w:type="spellEnd"/>
      <w:r w:rsidRPr="00874732">
        <w:rPr>
          <w:rFonts w:cs="Arial"/>
          <w:bCs/>
          <w:szCs w:val="24"/>
        </w:rPr>
        <w:t xml:space="preserve">, </w:t>
      </w:r>
      <w:proofErr w:type="spellStart"/>
      <w:r w:rsidRPr="00C46ACA">
        <w:rPr>
          <w:rFonts w:ascii="Cambria" w:hAnsi="Cambria" w:cs="Arial"/>
          <w:bCs/>
          <w:szCs w:val="24"/>
        </w:rPr>
        <w:t>τ</w:t>
      </w:r>
      <w:r>
        <w:rPr>
          <w:rFonts w:cs="Arial"/>
          <w:bCs/>
          <w:szCs w:val="24"/>
          <w:vertAlign w:val="subscript"/>
        </w:rPr>
        <w:t>L</w:t>
      </w:r>
      <w:proofErr w:type="spellEnd"/>
      <w:r w:rsidRPr="00874732">
        <w:rPr>
          <w:rFonts w:cs="Arial"/>
          <w:bCs/>
        </w:rPr>
        <w:t>, A</w:t>
      </w:r>
      <w:r w:rsidRPr="00C46ACA">
        <w:rPr>
          <w:rFonts w:cs="Arial"/>
          <w:bCs/>
          <w:vertAlign w:val="subscript"/>
        </w:rPr>
        <w:t>L</w:t>
      </w:r>
      <w:r w:rsidRPr="00E90805">
        <w:rPr>
          <w:rFonts w:cs="Arial"/>
          <w:bCs/>
        </w:rPr>
        <w:t>)</w:t>
      </w:r>
      <w:r>
        <w:rPr>
          <w:bCs/>
        </w:rPr>
        <w:t>. RNA-C had too few events for reliable dwell time analysis</w:t>
      </w:r>
    </w:p>
    <w:p w14:paraId="37BC4D7F" w14:textId="77777777" w:rsidR="00C12670" w:rsidRDefault="00C12670" w:rsidP="00C12670">
      <w:pPr>
        <w:spacing w:after="0" w:line="240" w:lineRule="auto"/>
        <w:contextualSpacing/>
        <w:rPr>
          <w:rFonts w:eastAsia="Times New Roman" w:cs="Arial"/>
          <w:color w:val="000000"/>
          <w:szCs w:val="24"/>
          <w:shd w:val="clear" w:color="auto" w:fill="FFFFFF"/>
        </w:rPr>
      </w:pPr>
      <w:r>
        <w:rPr>
          <w:bCs/>
          <w:vertAlign w:val="superscript"/>
        </w:rPr>
        <w:t>c</w:t>
      </w:r>
      <w:r w:rsidRPr="00E90805">
        <w:rPr>
          <w:rFonts w:cs="Arial"/>
          <w:bCs/>
        </w:rPr>
        <w:t xml:space="preserve"> Results of a loglikelihood ratio test (LLR) comparing the goodness of fit of single and double exponential estimates evaluated at </w:t>
      </w:r>
      <w:r w:rsidRPr="00E90805">
        <w:rPr>
          <w:rFonts w:eastAsia="Times New Roman" w:cs="Arial"/>
          <w:color w:val="000000"/>
          <w:szCs w:val="24"/>
          <w:shd w:val="clear" w:color="auto" w:fill="FFFFFF"/>
        </w:rPr>
        <w:t xml:space="preserve">α = 0.01, where </w:t>
      </w:r>
      <w:r w:rsidRPr="00E90805">
        <w:rPr>
          <w:rFonts w:eastAsia="Times New Roman" w:cs="Arial"/>
          <w:i/>
          <w:iCs/>
          <w:color w:val="000000"/>
          <w:szCs w:val="24"/>
          <w:shd w:val="clear" w:color="auto" w:fill="FFFFFF"/>
        </w:rPr>
        <w:t>p</w:t>
      </w:r>
      <w:r w:rsidRPr="00E90805">
        <w:rPr>
          <w:rFonts w:eastAsia="Times New Roman" w:cs="Arial"/>
          <w:color w:val="000000"/>
          <w:szCs w:val="24"/>
          <w:shd w:val="clear" w:color="auto" w:fill="FFFFFF"/>
        </w:rPr>
        <w:t xml:space="preserve"> &lt; 0.01 favors a double exponential distribution</w:t>
      </w:r>
    </w:p>
    <w:p w14:paraId="622DD93F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70"/>
    <w:rsid w:val="00084094"/>
    <w:rsid w:val="000B114A"/>
    <w:rsid w:val="00144464"/>
    <w:rsid w:val="001A6F6C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7E10"/>
    <w:rsid w:val="00642DE1"/>
    <w:rsid w:val="006742BB"/>
    <w:rsid w:val="00675052"/>
    <w:rsid w:val="00801A42"/>
    <w:rsid w:val="008A34D1"/>
    <w:rsid w:val="009C4F6E"/>
    <w:rsid w:val="00A55CE1"/>
    <w:rsid w:val="00A7182A"/>
    <w:rsid w:val="00AD1EB9"/>
    <w:rsid w:val="00BC1376"/>
    <w:rsid w:val="00C12670"/>
    <w:rsid w:val="00C96A64"/>
    <w:rsid w:val="00D76C15"/>
    <w:rsid w:val="00E249F5"/>
    <w:rsid w:val="00F265B6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55AE6"/>
  <w15:chartTrackingRefBased/>
  <w15:docId w15:val="{3F4DEE96-C599-7E41-BE3B-3D6E20F7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70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39"/>
    <w:rsid w:val="00C12670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2022-07-31T15:26:00Z</dcterms:created>
  <dcterms:modified xsi:type="dcterms:W3CDTF">2022-07-31T15:26:00Z</dcterms:modified>
</cp:coreProperties>
</file>