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C37" w:rsidRDefault="00775B60">
      <w:pPr>
        <w:pStyle w:val="Heading1"/>
        <w:spacing w:before="0"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Supplementary file 1. Data used for calculating the bioenergetic balances.</w:t>
      </w:r>
    </w:p>
    <w:tbl>
      <w:tblPr>
        <w:tblStyle w:val="a"/>
        <w:tblW w:w="9269" w:type="dxa"/>
        <w:tblInd w:w="-100" w:type="dxa"/>
        <w:tblBorders>
          <w:top w:val="single" w:sz="16" w:space="0" w:color="000000"/>
          <w:left w:val="single" w:sz="8" w:space="0" w:color="000000"/>
          <w:bottom w:val="single" w:sz="16"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0"/>
        <w:gridCol w:w="964"/>
        <w:gridCol w:w="976"/>
        <w:gridCol w:w="995"/>
        <w:gridCol w:w="935"/>
        <w:gridCol w:w="944"/>
        <w:gridCol w:w="944"/>
        <w:gridCol w:w="944"/>
        <w:gridCol w:w="944"/>
        <w:gridCol w:w="863"/>
      </w:tblGrid>
      <w:tr w:rsidR="00710C37">
        <w:trPr>
          <w:trHeight w:val="415"/>
        </w:trPr>
        <w:tc>
          <w:tcPr>
            <w:tcW w:w="761" w:type="dxa"/>
            <w:tcBorders>
              <w:bottom w:val="single" w:sz="4" w:space="0" w:color="000000"/>
            </w:tcBorders>
            <w:tcMar>
              <w:top w:w="20" w:type="dxa"/>
              <w:left w:w="20" w:type="dxa"/>
              <w:bottom w:w="0" w:type="dxa"/>
              <w:right w:w="20" w:type="dxa"/>
            </w:tcMar>
            <w:vAlign w:val="center"/>
          </w:tcPr>
          <w:p w:rsidR="00710C37" w:rsidRDefault="00710C37">
            <w:pPr>
              <w:ind w:left="-25"/>
              <w:jc w:val="center"/>
              <w:rPr>
                <w:rFonts w:ascii="Times New Roman" w:eastAsia="Times New Roman" w:hAnsi="Times New Roman" w:cs="Times New Roman"/>
                <w:b/>
                <w:sz w:val="20"/>
                <w:szCs w:val="20"/>
              </w:rPr>
            </w:pPr>
          </w:p>
        </w:tc>
        <w:tc>
          <w:tcPr>
            <w:tcW w:w="964" w:type="dxa"/>
            <w:tcBorders>
              <w:bottom w:val="single" w:sz="4" w:space="0" w:color="000000"/>
            </w:tcBorders>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Mannitol consumed</w:t>
            </w:r>
          </w:p>
        </w:tc>
        <w:tc>
          <w:tcPr>
            <w:tcW w:w="976" w:type="dxa"/>
            <w:tcBorders>
              <w:bottom w:val="single" w:sz="4" w:space="0" w:color="000000"/>
            </w:tcBorders>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Lactic acid</w:t>
            </w:r>
          </w:p>
        </w:tc>
        <w:tc>
          <w:tcPr>
            <w:tcW w:w="995" w:type="dxa"/>
            <w:tcBorders>
              <w:bottom w:val="single" w:sz="4" w:space="0" w:color="000000"/>
            </w:tcBorders>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Acetic acid</w:t>
            </w:r>
          </w:p>
        </w:tc>
        <w:tc>
          <w:tcPr>
            <w:tcW w:w="935" w:type="dxa"/>
            <w:tcBorders>
              <w:bottom w:val="single" w:sz="4" w:space="0" w:color="000000"/>
            </w:tcBorders>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Ethanol</w:t>
            </w:r>
          </w:p>
        </w:tc>
        <w:tc>
          <w:tcPr>
            <w:tcW w:w="944" w:type="dxa"/>
            <w:tcBorders>
              <w:bottom w:val="single" w:sz="4" w:space="0" w:color="000000"/>
            </w:tcBorders>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Succinic acid</w:t>
            </w:r>
          </w:p>
        </w:tc>
        <w:tc>
          <w:tcPr>
            <w:tcW w:w="944" w:type="dxa"/>
            <w:tcBorders>
              <w:bottom w:val="single" w:sz="4" w:space="0" w:color="000000"/>
            </w:tcBorders>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Pyruvic acid</w:t>
            </w:r>
          </w:p>
        </w:tc>
        <w:tc>
          <w:tcPr>
            <w:tcW w:w="944" w:type="dxa"/>
            <w:tcBorders>
              <w:bottom w:val="single" w:sz="4" w:space="0" w:color="000000"/>
            </w:tcBorders>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Formic acid</w:t>
            </w:r>
          </w:p>
        </w:tc>
        <w:tc>
          <w:tcPr>
            <w:tcW w:w="944" w:type="dxa"/>
            <w:tcBorders>
              <w:bottom w:val="single" w:sz="4" w:space="0" w:color="000000"/>
            </w:tcBorders>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Dry weight</w:t>
            </w:r>
          </w:p>
        </w:tc>
        <w:tc>
          <w:tcPr>
            <w:tcW w:w="863" w:type="dxa"/>
            <w:tcBorders>
              <w:bottom w:val="single" w:sz="4" w:space="0" w:color="000000"/>
            </w:tcBorders>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Electrons to anode</w:t>
            </w:r>
          </w:p>
        </w:tc>
      </w:tr>
      <w:tr w:rsidR="00710C37">
        <w:trPr>
          <w:trHeight w:val="150"/>
        </w:trPr>
        <w:tc>
          <w:tcPr>
            <w:tcW w:w="761" w:type="dxa"/>
            <w:tcBorders>
              <w:top w:val="single" w:sz="4" w:space="0" w:color="000000"/>
              <w:bottom w:val="single" w:sz="8" w:space="0" w:color="000000"/>
            </w:tcBorders>
            <w:tcMar>
              <w:top w:w="20" w:type="dxa"/>
              <w:left w:w="20" w:type="dxa"/>
              <w:bottom w:w="0" w:type="dxa"/>
              <w:right w:w="20" w:type="dxa"/>
            </w:tcMar>
            <w:vAlign w:val="center"/>
          </w:tcPr>
          <w:p w:rsidR="00710C37" w:rsidRDefault="00710C37">
            <w:pPr>
              <w:jc w:val="center"/>
              <w:rPr>
                <w:rFonts w:ascii="Times New Roman" w:eastAsia="Times New Roman" w:hAnsi="Times New Roman" w:cs="Times New Roman"/>
                <w:sz w:val="20"/>
                <w:szCs w:val="20"/>
              </w:rPr>
            </w:pPr>
          </w:p>
        </w:tc>
        <w:tc>
          <w:tcPr>
            <w:tcW w:w="964" w:type="dxa"/>
            <w:tcBorders>
              <w:top w:val="single" w:sz="4" w:space="0" w:color="000000"/>
              <w:bottom w:val="single" w:sz="8" w:space="0" w:color="000000"/>
            </w:tcBorders>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mM</w:t>
            </w:r>
          </w:p>
        </w:tc>
        <w:tc>
          <w:tcPr>
            <w:tcW w:w="976" w:type="dxa"/>
            <w:tcBorders>
              <w:top w:val="single" w:sz="4" w:space="0" w:color="000000"/>
              <w:bottom w:val="single" w:sz="8" w:space="0" w:color="000000"/>
            </w:tcBorders>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mM</w:t>
            </w:r>
          </w:p>
        </w:tc>
        <w:tc>
          <w:tcPr>
            <w:tcW w:w="995" w:type="dxa"/>
            <w:tcBorders>
              <w:top w:val="single" w:sz="4" w:space="0" w:color="000000"/>
              <w:bottom w:val="single" w:sz="8" w:space="0" w:color="000000"/>
            </w:tcBorders>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mM</w:t>
            </w:r>
          </w:p>
        </w:tc>
        <w:tc>
          <w:tcPr>
            <w:tcW w:w="935" w:type="dxa"/>
            <w:tcBorders>
              <w:top w:val="single" w:sz="4" w:space="0" w:color="000000"/>
              <w:bottom w:val="single" w:sz="8" w:space="0" w:color="000000"/>
            </w:tcBorders>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mM</w:t>
            </w:r>
          </w:p>
        </w:tc>
        <w:tc>
          <w:tcPr>
            <w:tcW w:w="944" w:type="dxa"/>
            <w:tcBorders>
              <w:top w:val="single" w:sz="4" w:space="0" w:color="000000"/>
              <w:bottom w:val="single" w:sz="8" w:space="0" w:color="000000"/>
            </w:tcBorders>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mM</w:t>
            </w:r>
          </w:p>
        </w:tc>
        <w:tc>
          <w:tcPr>
            <w:tcW w:w="944" w:type="dxa"/>
            <w:tcBorders>
              <w:top w:val="single" w:sz="4" w:space="0" w:color="000000"/>
              <w:bottom w:val="single" w:sz="8" w:space="0" w:color="000000"/>
            </w:tcBorders>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mM</w:t>
            </w:r>
          </w:p>
        </w:tc>
        <w:tc>
          <w:tcPr>
            <w:tcW w:w="944" w:type="dxa"/>
            <w:tcBorders>
              <w:top w:val="single" w:sz="4" w:space="0" w:color="000000"/>
              <w:bottom w:val="single" w:sz="8" w:space="0" w:color="000000"/>
            </w:tcBorders>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mM</w:t>
            </w:r>
          </w:p>
        </w:tc>
        <w:tc>
          <w:tcPr>
            <w:tcW w:w="944" w:type="dxa"/>
            <w:tcBorders>
              <w:top w:val="single" w:sz="4" w:space="0" w:color="000000"/>
              <w:bottom w:val="single" w:sz="8" w:space="0" w:color="000000"/>
            </w:tcBorders>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g/L</w:t>
            </w:r>
          </w:p>
        </w:tc>
        <w:tc>
          <w:tcPr>
            <w:tcW w:w="863" w:type="dxa"/>
            <w:tcBorders>
              <w:top w:val="single" w:sz="4" w:space="0" w:color="000000"/>
              <w:bottom w:val="single" w:sz="8" w:space="0" w:color="000000"/>
            </w:tcBorders>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mM</w:t>
            </w:r>
          </w:p>
        </w:tc>
      </w:tr>
      <w:tr w:rsidR="00710C37">
        <w:trPr>
          <w:trHeight w:val="253"/>
        </w:trPr>
        <w:tc>
          <w:tcPr>
            <w:tcW w:w="761" w:type="dxa"/>
            <w:tcBorders>
              <w:top w:val="single" w:sz="8" w:space="0" w:color="000000"/>
            </w:tcBorders>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EET (anode)</w:t>
            </w:r>
          </w:p>
        </w:tc>
        <w:tc>
          <w:tcPr>
            <w:tcW w:w="964" w:type="dxa"/>
            <w:tcBorders>
              <w:top w:val="single" w:sz="8" w:space="0" w:color="000000"/>
            </w:tcBorders>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10.05 ± 2.58</w:t>
            </w:r>
          </w:p>
        </w:tc>
        <w:tc>
          <w:tcPr>
            <w:tcW w:w="976" w:type="dxa"/>
            <w:tcBorders>
              <w:top w:val="single" w:sz="8" w:space="0" w:color="000000"/>
            </w:tcBorders>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12.41 ± 0.33</w:t>
            </w:r>
          </w:p>
        </w:tc>
        <w:tc>
          <w:tcPr>
            <w:tcW w:w="995" w:type="dxa"/>
            <w:tcBorders>
              <w:top w:val="single" w:sz="8" w:space="0" w:color="000000"/>
            </w:tcBorders>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0.55 ± 0.13</w:t>
            </w:r>
          </w:p>
        </w:tc>
        <w:tc>
          <w:tcPr>
            <w:tcW w:w="935" w:type="dxa"/>
            <w:tcBorders>
              <w:top w:val="single" w:sz="8" w:space="0" w:color="000000"/>
            </w:tcBorders>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2.12 ± 1.38</w:t>
            </w:r>
          </w:p>
        </w:tc>
        <w:tc>
          <w:tcPr>
            <w:tcW w:w="944" w:type="dxa"/>
            <w:tcBorders>
              <w:top w:val="single" w:sz="8" w:space="0" w:color="000000"/>
            </w:tcBorders>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0.021 ± 0.006</w:t>
            </w:r>
          </w:p>
        </w:tc>
        <w:tc>
          <w:tcPr>
            <w:tcW w:w="944" w:type="dxa"/>
            <w:tcBorders>
              <w:top w:val="single" w:sz="8" w:space="0" w:color="000000"/>
            </w:tcBorders>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0.86 ± 0.16</w:t>
            </w:r>
          </w:p>
        </w:tc>
        <w:tc>
          <w:tcPr>
            <w:tcW w:w="944" w:type="dxa"/>
            <w:tcBorders>
              <w:top w:val="single" w:sz="8" w:space="0" w:color="000000"/>
            </w:tcBorders>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 ± 0.01</w:t>
            </w:r>
          </w:p>
        </w:tc>
        <w:tc>
          <w:tcPr>
            <w:tcW w:w="944" w:type="dxa"/>
            <w:tcBorders>
              <w:top w:val="single" w:sz="8" w:space="0" w:color="000000"/>
            </w:tcBorders>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0.052 ± 0.04</w:t>
            </w:r>
          </w:p>
        </w:tc>
        <w:tc>
          <w:tcPr>
            <w:tcW w:w="863" w:type="dxa"/>
            <w:tcBorders>
              <w:top w:val="single" w:sz="8" w:space="0" w:color="000000"/>
            </w:tcBorders>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12.87 ± 0.96</w:t>
            </w:r>
          </w:p>
        </w:tc>
      </w:tr>
      <w:tr w:rsidR="00710C37">
        <w:trPr>
          <w:trHeight w:val="297"/>
        </w:trPr>
        <w:tc>
          <w:tcPr>
            <w:tcW w:w="761" w:type="dxa"/>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OCP</w:t>
            </w:r>
          </w:p>
        </w:tc>
        <w:tc>
          <w:tcPr>
            <w:tcW w:w="964" w:type="dxa"/>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5.28±1.5</w:t>
            </w:r>
          </w:p>
        </w:tc>
        <w:tc>
          <w:tcPr>
            <w:tcW w:w="976" w:type="dxa"/>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3.46 ± 0.4</w:t>
            </w:r>
          </w:p>
        </w:tc>
        <w:tc>
          <w:tcPr>
            <w:tcW w:w="995" w:type="dxa"/>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0.12 ± 0.04</w:t>
            </w:r>
          </w:p>
        </w:tc>
        <w:tc>
          <w:tcPr>
            <w:tcW w:w="935" w:type="dxa"/>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 ± 0.49</w:t>
            </w:r>
          </w:p>
        </w:tc>
        <w:tc>
          <w:tcPr>
            <w:tcW w:w="944" w:type="dxa"/>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 ± 0.00</w:t>
            </w:r>
          </w:p>
        </w:tc>
        <w:tc>
          <w:tcPr>
            <w:tcW w:w="944" w:type="dxa"/>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0.83 ± 0.15</w:t>
            </w:r>
          </w:p>
        </w:tc>
        <w:tc>
          <w:tcPr>
            <w:tcW w:w="944" w:type="dxa"/>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0.09 ± 0.08</w:t>
            </w:r>
          </w:p>
        </w:tc>
        <w:tc>
          <w:tcPr>
            <w:tcW w:w="944" w:type="dxa"/>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0.046 ± 0.009</w:t>
            </w:r>
          </w:p>
        </w:tc>
        <w:tc>
          <w:tcPr>
            <w:tcW w:w="863" w:type="dxa"/>
            <w:tcMar>
              <w:top w:w="20" w:type="dxa"/>
              <w:left w:w="20" w:type="dxa"/>
              <w:bottom w:w="0" w:type="dxa"/>
              <w:right w:w="20" w:type="dxa"/>
            </w:tcMar>
            <w:vAlign w:val="center"/>
          </w:tcPr>
          <w:p w:rsidR="00710C37" w:rsidRDefault="00775B6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710C37" w:rsidRDefault="00775B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standards were included in the HPLC measurements: acetate, </w:t>
      </w:r>
      <w:proofErr w:type="spellStart"/>
      <w:r>
        <w:rPr>
          <w:rFonts w:ascii="Times New Roman" w:eastAsia="Times New Roman" w:hAnsi="Times New Roman" w:cs="Times New Roman"/>
          <w:sz w:val="24"/>
          <w:szCs w:val="24"/>
        </w:rPr>
        <w:t>formate</w:t>
      </w:r>
      <w:proofErr w:type="spellEnd"/>
      <w:r>
        <w:rPr>
          <w:rFonts w:ascii="Times New Roman" w:eastAsia="Times New Roman" w:hAnsi="Times New Roman" w:cs="Times New Roman"/>
          <w:sz w:val="24"/>
          <w:szCs w:val="24"/>
        </w:rPr>
        <w:t xml:space="preserve">, pyruvate, malate, lactate, succinate, </w:t>
      </w:r>
      <w:proofErr w:type="spellStart"/>
      <w:r>
        <w:rPr>
          <w:rFonts w:ascii="Times New Roman" w:eastAsia="Times New Roman" w:hAnsi="Times New Roman" w:cs="Times New Roman"/>
          <w:sz w:val="24"/>
          <w:szCs w:val="24"/>
        </w:rPr>
        <w:t>oxalacetate</w:t>
      </w:r>
      <w:proofErr w:type="spellEnd"/>
      <w:r>
        <w:rPr>
          <w:rFonts w:ascii="Times New Roman" w:eastAsia="Times New Roman" w:hAnsi="Times New Roman" w:cs="Times New Roman"/>
          <w:sz w:val="24"/>
          <w:szCs w:val="24"/>
        </w:rPr>
        <w:t>, fumarate, ethanol, acetoin, butanediol, mannitol and glucose. No gaseous products were measured.</w:t>
      </w:r>
    </w:p>
    <w:p w:rsidR="00710C37" w:rsidRDefault="00775B60">
      <w:pPr>
        <w:pStyle w:val="Heading1"/>
        <w:spacing w:before="0" w:after="0" w:line="240" w:lineRule="auto"/>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Carbon recovery-EET condit</w:t>
      </w:r>
      <w:r>
        <w:rPr>
          <w:rFonts w:ascii="Times New Roman" w:eastAsia="Times New Roman" w:hAnsi="Times New Roman" w:cs="Times New Roman"/>
          <w:b w:val="0"/>
          <w:sz w:val="24"/>
          <w:szCs w:val="24"/>
        </w:rPr>
        <w:t xml:space="preserve">ions (fermentation </w:t>
      </w:r>
      <w:proofErr w:type="spellStart"/>
      <w:r>
        <w:rPr>
          <w:rFonts w:ascii="Times New Roman" w:eastAsia="Times New Roman" w:hAnsi="Times New Roman" w:cs="Times New Roman"/>
          <w:b w:val="0"/>
          <w:sz w:val="24"/>
          <w:szCs w:val="24"/>
        </w:rPr>
        <w:t>products+biomass</w:t>
      </w:r>
      <w:proofErr w:type="spellEnd"/>
      <w:r>
        <w:rPr>
          <w:rFonts w:ascii="Times New Roman" w:eastAsia="Times New Roman" w:hAnsi="Times New Roman" w:cs="Times New Roman"/>
          <w:b w:val="0"/>
          <w:sz w:val="24"/>
          <w:szCs w:val="24"/>
        </w:rPr>
        <w:t>): 79±5 %</w:t>
      </w:r>
    </w:p>
    <w:p w:rsidR="00710C37" w:rsidRDefault="00775B60">
      <w:pPr>
        <w:pStyle w:val="Heading1"/>
        <w:spacing w:before="0" w:after="0" w:line="240" w:lineRule="auto"/>
        <w:rPr>
          <w:rFonts w:ascii="Times New Roman" w:eastAsia="Times New Roman" w:hAnsi="Times New Roman" w:cs="Times New Roman"/>
          <w:b w:val="0"/>
          <w:sz w:val="24"/>
          <w:szCs w:val="24"/>
        </w:rPr>
      </w:pPr>
      <w:bookmarkStart w:id="1" w:name="_heading=h.r8zyirv8a0m5" w:colFirst="0" w:colLast="0"/>
      <w:bookmarkEnd w:id="1"/>
      <w:r>
        <w:rPr>
          <w:rFonts w:ascii="Times New Roman" w:eastAsia="Times New Roman" w:hAnsi="Times New Roman" w:cs="Times New Roman"/>
          <w:b w:val="0"/>
          <w:sz w:val="24"/>
          <w:szCs w:val="24"/>
        </w:rPr>
        <w:t xml:space="preserve">Carbon recovery-OC conditions (fermentation </w:t>
      </w:r>
      <w:proofErr w:type="spellStart"/>
      <w:r>
        <w:rPr>
          <w:rFonts w:ascii="Times New Roman" w:eastAsia="Times New Roman" w:hAnsi="Times New Roman" w:cs="Times New Roman"/>
          <w:b w:val="0"/>
          <w:sz w:val="24"/>
          <w:szCs w:val="24"/>
        </w:rPr>
        <w:t>products+biomass</w:t>
      </w:r>
      <w:proofErr w:type="spellEnd"/>
      <w:r>
        <w:rPr>
          <w:rFonts w:ascii="Times New Roman" w:eastAsia="Times New Roman" w:hAnsi="Times New Roman" w:cs="Times New Roman"/>
          <w:b w:val="0"/>
          <w:sz w:val="24"/>
          <w:szCs w:val="24"/>
        </w:rPr>
        <w:t>): 55±5 %</w:t>
      </w:r>
    </w:p>
    <w:p w:rsidR="00710C37" w:rsidRDefault="00775B6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53% of the biomass was considered to be C, as previously reported (Shuler and </w:t>
      </w:r>
      <w:proofErr w:type="spellStart"/>
      <w:r>
        <w:rPr>
          <w:rFonts w:ascii="Times New Roman" w:eastAsia="Times New Roman" w:hAnsi="Times New Roman" w:cs="Times New Roman"/>
          <w:sz w:val="24"/>
          <w:szCs w:val="24"/>
        </w:rPr>
        <w:t>Kargi</w:t>
      </w:r>
      <w:proofErr w:type="spellEnd"/>
      <w:r>
        <w:rPr>
          <w:rFonts w:ascii="Times New Roman" w:eastAsia="Times New Roman" w:hAnsi="Times New Roman" w:cs="Times New Roman"/>
          <w:sz w:val="24"/>
          <w:szCs w:val="24"/>
        </w:rPr>
        <w:t>, 2002)</w:t>
      </w:r>
    </w:p>
    <w:p w:rsidR="00710C37" w:rsidRDefault="00775B60">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Methods to calculations of NADH regeneration</w:t>
      </w:r>
    </w:p>
    <w:p w:rsidR="00710C37" w:rsidRDefault="00775B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concentration of NADH regenerated is calculated as the difference between the NADH consumed and produced through EET and the formation of fermentation products. Calculating the concentration of NADH consumed is straightforward. We assume NADH is consumed </w:t>
      </w:r>
      <w:r>
        <w:rPr>
          <w:rFonts w:ascii="Times New Roman" w:eastAsia="Times New Roman" w:hAnsi="Times New Roman" w:cs="Times New Roman"/>
          <w:sz w:val="24"/>
          <w:szCs w:val="24"/>
        </w:rPr>
        <w:t>as a result of both fermentative pathways associated with substrate-level phosphorylation and EET pathways. For the substrate-level phosphorylation pathways, we assume that 1 mol of lactate, ethanol, or succinate each consume 1, 2 or 2 mol of NADH, respect</w:t>
      </w:r>
      <w:r>
        <w:rPr>
          <w:rFonts w:ascii="Times New Roman" w:eastAsia="Times New Roman" w:hAnsi="Times New Roman" w:cs="Times New Roman"/>
          <w:sz w:val="24"/>
          <w:szCs w:val="24"/>
        </w:rPr>
        <w:t>ively. For EET pathways, the concentration of NADH consumed was calculated by first determining the moles of electrons harvested by the anode:</w:t>
      </w:r>
    </w:p>
    <w:p w:rsidR="00710C37" w:rsidRDefault="00775B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710C37" w:rsidRDefault="00775B60">
      <w:pPr>
        <w:spacing w:line="240" w:lineRule="auto"/>
        <w:rPr>
          <w:rFonts w:ascii="Times New Roman" w:eastAsia="Times New Roman" w:hAnsi="Times New Roman" w:cs="Times New Roman"/>
          <w:sz w:val="24"/>
          <w:szCs w:val="24"/>
        </w:rPr>
      </w:pPr>
      <m:oMath>
        <m:r>
          <w:rPr>
            <w:rFonts w:ascii="Times New Roman" w:eastAsia="Times New Roman" w:hAnsi="Times New Roman" w:cs="Times New Roman"/>
            <w:sz w:val="24"/>
            <w:szCs w:val="24"/>
          </w:rPr>
          <m:t>mol</m:t>
        </m:r>
        <m:r>
          <w:rPr>
            <w:rFonts w:ascii="Times New Roman" w:eastAsia="Times New Roman" w:hAnsi="Times New Roman" w:cs="Times New Roman"/>
            <w:sz w:val="24"/>
            <w:szCs w:val="24"/>
          </w:rPr>
          <m:t xml:space="preserve"> </m:t>
        </m:r>
        <m:r>
          <w:rPr>
            <w:rFonts w:ascii="Times New Roman" w:eastAsia="Times New Roman" w:hAnsi="Times New Roman" w:cs="Times New Roman"/>
            <w:sz w:val="24"/>
            <w:szCs w:val="24"/>
          </w:rPr>
          <m:t>electrons</m:t>
        </m:r>
        <m:r>
          <w:rPr>
            <w:rFonts w:ascii="Times New Roman" w:eastAsia="Times New Roman" w:hAnsi="Times New Roman" w:cs="Times New Roman"/>
            <w:sz w:val="24"/>
            <w:szCs w:val="24"/>
          </w:rPr>
          <m:t>=</m:t>
        </m:r>
        <m:r>
          <w:rPr>
            <w:rFonts w:ascii="Times New Roman" w:eastAsia="Times New Roman" w:hAnsi="Times New Roman" w:cs="Times New Roman"/>
            <w:sz w:val="24"/>
            <w:szCs w:val="24"/>
          </w:rPr>
          <m:t>c</m:t>
        </m:r>
        <m:r>
          <w:rPr>
            <w:rFonts w:ascii="Times New Roman" w:eastAsia="Times New Roman" w:hAnsi="Times New Roman" w:cs="Times New Roman"/>
            <w:sz w:val="24"/>
            <w:szCs w:val="24"/>
          </w:rPr>
          <m:t>h</m:t>
        </m:r>
        <m:r>
          <w:rPr>
            <w:rFonts w:ascii="Times New Roman" w:eastAsia="Times New Roman" w:hAnsi="Times New Roman" w:cs="Times New Roman"/>
            <w:sz w:val="24"/>
            <w:szCs w:val="24"/>
          </w:rPr>
          <m:t>arge</m:t>
        </m:r>
        <m:r>
          <w:rPr>
            <w:rFonts w:ascii="Times New Roman" w:eastAsia="Times New Roman" w:hAnsi="Times New Roman" w:cs="Times New Roman"/>
            <w:sz w:val="24"/>
            <w:szCs w:val="24"/>
          </w:rPr>
          <m:t xml:space="preserve"> (</m:t>
        </m:r>
        <m:r>
          <w:rPr>
            <w:rFonts w:ascii="Times New Roman" w:eastAsia="Times New Roman" w:hAnsi="Times New Roman" w:cs="Times New Roman"/>
            <w:sz w:val="24"/>
            <w:szCs w:val="24"/>
          </w:rPr>
          <m:t>A</m:t>
        </m:r>
        <m:r>
          <w:rPr>
            <w:rFonts w:ascii="Times New Roman" w:eastAsia="Times New Roman" w:hAnsi="Times New Roman" w:cs="Times New Roman"/>
            <w:sz w:val="24"/>
            <w:szCs w:val="24"/>
          </w:rPr>
          <m:t>*</m:t>
        </m:r>
        <m:r>
          <w:rPr>
            <w:rFonts w:ascii="Times New Roman" w:eastAsia="Times New Roman" w:hAnsi="Times New Roman" w:cs="Times New Roman"/>
            <w:sz w:val="24"/>
            <w:szCs w:val="24"/>
          </w:rPr>
          <m:t>s</m:t>
        </m:r>
        <m:r>
          <w:rPr>
            <w:rFonts w:ascii="Times New Roman" w:eastAsia="Times New Roman" w:hAnsi="Times New Roman" w:cs="Times New Roman"/>
            <w:sz w:val="24"/>
            <w:szCs w:val="24"/>
          </w:rPr>
          <m:t xml:space="preserve">)* </m:t>
        </m:r>
        <m:r>
          <w:rPr>
            <w:rFonts w:ascii="Times New Roman" w:eastAsia="Times New Roman" w:hAnsi="Times New Roman" w:cs="Times New Roman"/>
            <w:sz w:val="24"/>
            <w:szCs w:val="24"/>
          </w:rPr>
          <m:t>Faraday</m:t>
        </m:r>
        <m:r>
          <w:rPr>
            <w:rFonts w:ascii="Times New Roman" w:eastAsia="Times New Roman" w:hAnsi="Times New Roman" w:cs="Times New Roman"/>
            <w:sz w:val="24"/>
            <w:szCs w:val="24"/>
          </w:rPr>
          <m:t xml:space="preserve"> </m:t>
        </m:r>
        <m:r>
          <w:rPr>
            <w:rFonts w:ascii="Times New Roman" w:eastAsia="Times New Roman" w:hAnsi="Times New Roman" w:cs="Times New Roman"/>
            <w:sz w:val="24"/>
            <w:szCs w:val="24"/>
          </w:rPr>
          <m:t>constant</m:t>
        </m:r>
        <m:r>
          <w:rPr>
            <w:rFonts w:ascii="Times New Roman" w:eastAsia="Times New Roman" w:hAnsi="Times New Roman" w:cs="Times New Roman"/>
            <w:sz w:val="24"/>
            <w:szCs w:val="24"/>
          </w:rPr>
          <m:t xml:space="preserve"> (96485 </m:t>
        </m:r>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mol</m:t>
            </m:r>
            <m:r>
              <w:rPr>
                <w:rFonts w:ascii="Times New Roman" w:eastAsia="Times New Roman" w:hAnsi="Times New Roman" w:cs="Times New Roman"/>
                <w:sz w:val="24"/>
                <w:szCs w:val="24"/>
              </w:rPr>
              <m:t xml:space="preserve"> </m:t>
            </m:r>
            <m:r>
              <w:rPr>
                <w:rFonts w:ascii="Times New Roman" w:eastAsia="Times New Roman" w:hAnsi="Times New Roman" w:cs="Times New Roman"/>
                <w:sz w:val="24"/>
                <w:szCs w:val="24"/>
              </w:rPr>
              <m:t>e</m:t>
            </m:r>
          </m:num>
          <m:den>
            <m:r>
              <w:rPr>
                <w:rFonts w:ascii="Times New Roman" w:eastAsia="Times New Roman" w:hAnsi="Times New Roman" w:cs="Times New Roman"/>
                <w:sz w:val="24"/>
                <w:szCs w:val="24"/>
              </w:rPr>
              <m:t>A</m:t>
            </m:r>
            <m:r>
              <w:rPr>
                <w:rFonts w:ascii="Times New Roman" w:eastAsia="Times New Roman" w:hAnsi="Times New Roman" w:cs="Times New Roman"/>
                <w:sz w:val="24"/>
                <w:szCs w:val="24"/>
              </w:rPr>
              <m:t>*</m:t>
            </m:r>
            <m:r>
              <w:rPr>
                <w:rFonts w:ascii="Times New Roman" w:eastAsia="Times New Roman" w:hAnsi="Times New Roman" w:cs="Times New Roman"/>
                <w:sz w:val="24"/>
                <w:szCs w:val="24"/>
              </w:rPr>
              <m:t>s</m:t>
            </m:r>
          </m:den>
        </m:f>
        <m:r>
          <w:rPr>
            <w:rFonts w:ascii="Times New Roman" w:eastAsia="Times New Roman" w:hAnsi="Times New Roman" w:cs="Times New Roman"/>
            <w:sz w:val="24"/>
            <w:szCs w:val="24"/>
          </w:rPr>
          <m:t>)</m:t>
        </m:r>
      </m:oMath>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Eqn</w:t>
      </w:r>
      <w:r>
        <w:rPr>
          <w:rFonts w:ascii="Times New Roman" w:eastAsia="Times New Roman" w:hAnsi="Times New Roman" w:cs="Times New Roman"/>
          <w:sz w:val="24"/>
          <w:szCs w:val="24"/>
        </w:rPr>
        <w:t xml:space="preserve"> 1</w:t>
      </w:r>
    </w:p>
    <w:p w:rsidR="00710C37" w:rsidRDefault="00775B6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rsidR="00710C37" w:rsidRDefault="00775B60">
      <w:pPr>
        <w:spacing w:line="240" w:lineRule="auto"/>
        <w:rPr>
          <w:rFonts w:ascii="Times New Roman" w:eastAsia="Times New Roman" w:hAnsi="Times New Roman" w:cs="Times New Roman"/>
          <w:sz w:val="24"/>
          <w:szCs w:val="24"/>
        </w:rPr>
      </w:pPr>
      <m:oMath>
        <m:r>
          <w:rPr>
            <w:rFonts w:ascii="Times New Roman" w:eastAsia="Times New Roman" w:hAnsi="Times New Roman" w:cs="Times New Roman"/>
          </w:rPr>
          <m:t>c</m:t>
        </m:r>
        <m:r>
          <w:rPr>
            <w:rFonts w:ascii="Times New Roman" w:eastAsia="Times New Roman" w:hAnsi="Times New Roman" w:cs="Times New Roman"/>
          </w:rPr>
          <m:t>h</m:t>
        </m:r>
        <m:r>
          <w:rPr>
            <w:rFonts w:ascii="Times New Roman" w:eastAsia="Times New Roman" w:hAnsi="Times New Roman" w:cs="Times New Roman"/>
          </w:rPr>
          <m:t>arge</m:t>
        </m:r>
        <m:r>
          <w:rPr>
            <w:rFonts w:ascii="Times New Roman" w:eastAsia="Times New Roman" w:hAnsi="Times New Roman" w:cs="Times New Roman"/>
          </w:rPr>
          <m:t>=</m:t>
        </m:r>
        <m:r>
          <w:rPr>
            <w:rFonts w:ascii="Times New Roman" w:eastAsia="Times New Roman" w:hAnsi="Times New Roman" w:cs="Times New Roman"/>
          </w:rPr>
          <m:t>current</m:t>
        </m:r>
        <m:r>
          <w:rPr>
            <w:rFonts w:ascii="Times New Roman" w:eastAsia="Times New Roman" w:hAnsi="Times New Roman" w:cs="Times New Roman"/>
          </w:rPr>
          <m:t xml:space="preserve"> (</m:t>
        </m:r>
        <m:r>
          <w:rPr>
            <w:rFonts w:ascii="Times New Roman" w:eastAsia="Times New Roman" w:hAnsi="Times New Roman" w:cs="Times New Roman"/>
          </w:rPr>
          <m:t>A</m:t>
        </m:r>
        <m:r>
          <w:rPr>
            <w:rFonts w:ascii="Times New Roman" w:eastAsia="Times New Roman" w:hAnsi="Times New Roman" w:cs="Times New Roman"/>
          </w:rPr>
          <m:t>)*</m:t>
        </m:r>
        <m:r>
          <w:rPr>
            <w:rFonts w:ascii="Times New Roman" w:eastAsia="Times New Roman" w:hAnsi="Times New Roman" w:cs="Times New Roman"/>
          </w:rPr>
          <m:t>time</m:t>
        </m:r>
        <m:r>
          <w:rPr>
            <w:rFonts w:ascii="Times New Roman" w:eastAsia="Times New Roman" w:hAnsi="Times New Roman" w:cs="Times New Roman"/>
          </w:rPr>
          <m:t xml:space="preserve"> (</m:t>
        </m:r>
        <m:r>
          <w:rPr>
            <w:rFonts w:ascii="Times New Roman" w:eastAsia="Times New Roman" w:hAnsi="Times New Roman" w:cs="Times New Roman"/>
          </w:rPr>
          <m:t>s</m:t>
        </m:r>
        <m:r>
          <w:rPr>
            <w:rFonts w:ascii="Times New Roman" w:eastAsia="Times New Roman" w:hAnsi="Times New Roman" w:cs="Times New Roman"/>
          </w:rPr>
          <m:t>)=</m:t>
        </m:r>
        <m:r>
          <w:rPr>
            <w:rFonts w:ascii="Times New Roman" w:eastAsia="Times New Roman" w:hAnsi="Times New Roman" w:cs="Times New Roman"/>
          </w:rPr>
          <m:t>current</m:t>
        </m:r>
        <m:r>
          <w:rPr>
            <w:rFonts w:ascii="Times New Roman" w:eastAsia="Times New Roman" w:hAnsi="Times New Roman" w:cs="Times New Roman"/>
          </w:rPr>
          <m:t xml:space="preserve"> </m:t>
        </m:r>
        <m:r>
          <w:rPr>
            <w:rFonts w:ascii="Times New Roman" w:eastAsia="Times New Roman" w:hAnsi="Times New Roman" w:cs="Times New Roman"/>
          </w:rPr>
          <m:t>density</m:t>
        </m:r>
        <m:r>
          <w:rPr>
            <w:rFonts w:ascii="Times New Roman" w:eastAsia="Times New Roman" w:hAnsi="Times New Roman" w:cs="Times New Roman"/>
          </w:rPr>
          <m:t xml:space="preserve"> (</m:t>
        </m:r>
        <m:f>
          <m:fPr>
            <m:ctrlPr>
              <w:rPr>
                <w:rFonts w:ascii="Times New Roman" w:eastAsia="Times New Roman" w:hAnsi="Times New Roman" w:cs="Times New Roman"/>
              </w:rPr>
            </m:ctrlPr>
          </m:fPr>
          <m:num>
            <m:r>
              <w:rPr>
                <w:rFonts w:ascii="Times New Roman" w:eastAsia="Times New Roman" w:hAnsi="Times New Roman" w:cs="Times New Roman"/>
              </w:rPr>
              <m:t>A</m:t>
            </m:r>
          </m:num>
          <m:den>
            <m:r>
              <w:rPr>
                <w:rFonts w:ascii="Times New Roman" w:eastAsia="Times New Roman" w:hAnsi="Times New Roman" w:cs="Times New Roman"/>
              </w:rPr>
              <m:t>c</m:t>
            </m:r>
            <m:sSup>
              <m:sSupPr>
                <m:ctrlPr>
                  <w:rPr>
                    <w:rFonts w:ascii="Times New Roman" w:eastAsia="Times New Roman" w:hAnsi="Times New Roman" w:cs="Times New Roman"/>
                  </w:rPr>
                </m:ctrlPr>
              </m:sSupPr>
              <m:e>
                <m:r>
                  <w:rPr>
                    <w:rFonts w:ascii="Times New Roman" w:eastAsia="Times New Roman" w:hAnsi="Times New Roman" w:cs="Times New Roman"/>
                  </w:rPr>
                  <m:t>m</m:t>
                </m:r>
              </m:e>
              <m:sup>
                <m:r>
                  <w:rPr>
                    <w:rFonts w:ascii="Times New Roman" w:eastAsia="Times New Roman" w:hAnsi="Times New Roman" w:cs="Times New Roman"/>
                  </w:rPr>
                  <m:t>2</m:t>
                </m:r>
              </m:sup>
            </m:sSup>
          </m:den>
        </m:f>
        <m:r>
          <w:rPr>
            <w:rFonts w:ascii="Times New Roman" w:eastAsia="Times New Roman" w:hAnsi="Times New Roman" w:cs="Times New Roman"/>
          </w:rPr>
          <m:t xml:space="preserve">)* </m:t>
        </m:r>
        <m:r>
          <w:rPr>
            <w:rFonts w:ascii="Times New Roman" w:eastAsia="Times New Roman" w:hAnsi="Times New Roman" w:cs="Times New Roman"/>
          </w:rPr>
          <m:t>area</m:t>
        </m:r>
        <m:r>
          <w:rPr>
            <w:rFonts w:ascii="Times New Roman" w:eastAsia="Times New Roman" w:hAnsi="Times New Roman" w:cs="Times New Roman"/>
          </w:rPr>
          <m:t xml:space="preserve"> </m:t>
        </m:r>
        <m:r>
          <w:rPr>
            <w:rFonts w:ascii="Times New Roman" w:eastAsia="Times New Roman" w:hAnsi="Times New Roman" w:cs="Times New Roman"/>
          </w:rPr>
          <m:t>anode</m:t>
        </m:r>
        <m:r>
          <w:rPr>
            <w:rFonts w:ascii="Times New Roman" w:eastAsia="Times New Roman" w:hAnsi="Times New Roman" w:cs="Times New Roman"/>
          </w:rPr>
          <m:t xml:space="preserve"> (</m:t>
        </m:r>
        <m:r>
          <w:rPr>
            <w:rFonts w:ascii="Times New Roman" w:eastAsia="Times New Roman" w:hAnsi="Times New Roman" w:cs="Times New Roman"/>
          </w:rPr>
          <m:t>c</m:t>
        </m:r>
        <m:sSup>
          <m:sSupPr>
            <m:ctrlPr>
              <w:rPr>
                <w:rFonts w:ascii="Times New Roman" w:eastAsia="Times New Roman" w:hAnsi="Times New Roman" w:cs="Times New Roman"/>
              </w:rPr>
            </m:ctrlPr>
          </m:sSupPr>
          <m:e>
            <m:r>
              <w:rPr>
                <w:rFonts w:ascii="Times New Roman" w:eastAsia="Times New Roman" w:hAnsi="Times New Roman" w:cs="Times New Roman"/>
              </w:rPr>
              <m:t>m</m:t>
            </m:r>
          </m:e>
          <m:sup>
            <m:r>
              <w:rPr>
                <w:rFonts w:ascii="Times New Roman" w:eastAsia="Times New Roman" w:hAnsi="Times New Roman" w:cs="Times New Roman"/>
              </w:rPr>
              <m:t>2</m:t>
            </m:r>
          </m:sup>
        </m:sSup>
        <m:r>
          <w:rPr>
            <w:rFonts w:ascii="Times New Roman" w:eastAsia="Times New Roman" w:hAnsi="Times New Roman" w:cs="Times New Roman"/>
          </w:rPr>
          <m:t xml:space="preserve">) * </m:t>
        </m:r>
        <m:r>
          <w:rPr>
            <w:rFonts w:ascii="Times New Roman" w:eastAsia="Times New Roman" w:hAnsi="Times New Roman" w:cs="Times New Roman"/>
          </w:rPr>
          <m:t>time</m:t>
        </m:r>
        <m:r>
          <w:rPr>
            <w:rFonts w:ascii="Times New Roman" w:eastAsia="Times New Roman" w:hAnsi="Times New Roman" w:cs="Times New Roman"/>
          </w:rPr>
          <m:t xml:space="preserve"> (</m:t>
        </m:r>
        <m:r>
          <w:rPr>
            <w:rFonts w:ascii="Times New Roman" w:eastAsia="Times New Roman" w:hAnsi="Times New Roman" w:cs="Times New Roman"/>
          </w:rPr>
          <m:t>s</m:t>
        </m:r>
        <m:r>
          <w:rPr>
            <w:rFonts w:ascii="Times New Roman" w:eastAsia="Times New Roman" w:hAnsi="Times New Roman" w:cs="Times New Roman"/>
          </w:rPr>
          <m:t>)</m:t>
        </m:r>
        <m:r>
          <w:rPr>
            <w:rFonts w:ascii="Times New Roman" w:eastAsia="Times New Roman" w:hAnsi="Times New Roman" w:cs="Times New Roman"/>
            <w:sz w:val="24"/>
            <w:szCs w:val="24"/>
          </w:rPr>
          <m:t xml:space="preserve"> </m:t>
        </m:r>
      </m:oMath>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Eqn 2</w:t>
      </w:r>
    </w:p>
    <w:p w:rsidR="00710C37" w:rsidRDefault="00775B6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Then, the concentration of NADH regenerated was calculated using the volume of the reactor and the fact that 2 electrons are released in the oxidation of NADH to NAD</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basis:</w:t>
      </w:r>
    </w:p>
    <w:p w:rsidR="00710C37" w:rsidRDefault="00775B60">
      <w:pPr>
        <w:spacing w:line="240" w:lineRule="auto"/>
        <w:rPr>
          <w:rFonts w:ascii="Times New Roman" w:eastAsia="Times New Roman" w:hAnsi="Times New Roman" w:cs="Times New Roman"/>
          <w:sz w:val="24"/>
          <w:szCs w:val="24"/>
        </w:rPr>
      </w:pPr>
      <m:oMath>
        <m:r>
          <w:rPr>
            <w:rFonts w:ascii="Times New Roman" w:eastAsia="Times New Roman" w:hAnsi="Times New Roman" w:cs="Times New Roman"/>
            <w:sz w:val="24"/>
            <w:szCs w:val="24"/>
          </w:rPr>
          <m:t>[</m:t>
        </m:r>
        <m:r>
          <w:rPr>
            <w:rFonts w:ascii="Times New Roman" w:eastAsia="Times New Roman" w:hAnsi="Times New Roman" w:cs="Times New Roman"/>
            <w:sz w:val="24"/>
            <w:szCs w:val="24"/>
          </w:rPr>
          <m:t>NADH</m:t>
        </m:r>
        <m:r>
          <w:rPr>
            <w:rFonts w:ascii="Times New Roman" w:eastAsia="Times New Roman" w:hAnsi="Times New Roman" w:cs="Times New Roman"/>
            <w:sz w:val="24"/>
            <w:szCs w:val="24"/>
          </w:rPr>
          <m:t>]=</m:t>
        </m:r>
        <m:r>
          <w:rPr>
            <w:rFonts w:ascii="Times New Roman" w:eastAsia="Times New Roman" w:hAnsi="Times New Roman" w:cs="Times New Roman"/>
            <w:sz w:val="24"/>
            <w:szCs w:val="24"/>
          </w:rPr>
          <m:t>mol</m:t>
        </m:r>
        <m:r>
          <w:rPr>
            <w:rFonts w:ascii="Times New Roman" w:eastAsia="Times New Roman" w:hAnsi="Times New Roman" w:cs="Times New Roman"/>
            <w:sz w:val="24"/>
            <w:szCs w:val="24"/>
          </w:rPr>
          <m:t xml:space="preserve"> </m:t>
        </m:r>
        <m:r>
          <w:rPr>
            <w:rFonts w:ascii="Times New Roman" w:eastAsia="Times New Roman" w:hAnsi="Times New Roman" w:cs="Times New Roman"/>
            <w:sz w:val="24"/>
            <w:szCs w:val="24"/>
          </w:rPr>
          <m:t>electrons</m:t>
        </m:r>
        <m:r>
          <w:rPr>
            <w:rFonts w:ascii="Times New Roman" w:eastAsia="Times New Roman" w:hAnsi="Times New Roman" w:cs="Times New Roman"/>
            <w:sz w:val="24"/>
            <w:szCs w:val="24"/>
          </w:rPr>
          <m:t xml:space="preserve">*2 </m:t>
        </m:r>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mole</m:t>
            </m:r>
            <m:r>
              <w:rPr>
                <w:rFonts w:ascii="Times New Roman" w:eastAsia="Times New Roman" w:hAnsi="Times New Roman" w:cs="Times New Roman"/>
                <w:sz w:val="24"/>
                <w:szCs w:val="24"/>
              </w:rPr>
              <m:t xml:space="preserve"> </m:t>
            </m:r>
            <m:r>
              <w:rPr>
                <w:rFonts w:ascii="Times New Roman" w:eastAsia="Times New Roman" w:hAnsi="Times New Roman" w:cs="Times New Roman"/>
                <w:sz w:val="24"/>
                <w:szCs w:val="24"/>
              </w:rPr>
              <m:t>NADH</m:t>
            </m:r>
          </m:num>
          <m:den>
            <m:r>
              <w:rPr>
                <w:rFonts w:ascii="Times New Roman" w:eastAsia="Times New Roman" w:hAnsi="Times New Roman" w:cs="Times New Roman"/>
                <w:sz w:val="24"/>
                <w:szCs w:val="24"/>
              </w:rPr>
              <m:t>mol</m:t>
            </m:r>
            <m:r>
              <w:rPr>
                <w:rFonts w:ascii="Times New Roman" w:eastAsia="Times New Roman" w:hAnsi="Times New Roman" w:cs="Times New Roman"/>
                <w:sz w:val="24"/>
                <w:szCs w:val="24"/>
              </w:rPr>
              <m:t xml:space="preserve"> </m:t>
            </m:r>
            <m:r>
              <w:rPr>
                <w:rFonts w:ascii="Times New Roman" w:eastAsia="Times New Roman" w:hAnsi="Times New Roman" w:cs="Times New Roman"/>
                <w:sz w:val="24"/>
                <w:szCs w:val="24"/>
              </w:rPr>
              <m:t>electrons</m:t>
            </m:r>
          </m:den>
        </m:f>
        <m:r>
          <w:rPr>
            <w:rFonts w:ascii="Times New Roman" w:eastAsia="Times New Roman" w:hAnsi="Times New Roman" w:cs="Times New Roman"/>
            <w:sz w:val="24"/>
            <w:szCs w:val="24"/>
          </w:rPr>
          <m:t>*</m:t>
        </m:r>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1</m:t>
            </m:r>
          </m:num>
          <m:den>
            <m:r>
              <w:rPr>
                <w:rFonts w:ascii="Times New Roman" w:eastAsia="Times New Roman" w:hAnsi="Times New Roman" w:cs="Times New Roman"/>
                <w:sz w:val="24"/>
                <w:szCs w:val="24"/>
              </w:rPr>
              <m:t xml:space="preserve">0.15 </m:t>
            </m:r>
            <m:r>
              <w:rPr>
                <w:rFonts w:ascii="Times New Roman" w:eastAsia="Times New Roman" w:hAnsi="Times New Roman" w:cs="Times New Roman"/>
                <w:sz w:val="24"/>
                <w:szCs w:val="24"/>
              </w:rPr>
              <m:t>L</m:t>
            </m:r>
            <m:r>
              <w:rPr>
                <w:rFonts w:ascii="Times New Roman" w:eastAsia="Times New Roman" w:hAnsi="Times New Roman" w:cs="Times New Roman"/>
                <w:sz w:val="24"/>
                <w:szCs w:val="24"/>
              </w:rPr>
              <m:t xml:space="preserve"> </m:t>
            </m:r>
            <m:r>
              <w:rPr>
                <w:rFonts w:ascii="Times New Roman" w:eastAsia="Times New Roman" w:hAnsi="Times New Roman" w:cs="Times New Roman"/>
                <w:sz w:val="24"/>
                <w:szCs w:val="24"/>
              </w:rPr>
              <m:t>reactor</m:t>
            </m:r>
          </m:den>
        </m:f>
        <m:r>
          <w:rPr>
            <w:rFonts w:ascii="Times New Roman" w:eastAsia="Times New Roman" w:hAnsi="Times New Roman" w:cs="Times New Roman"/>
            <w:sz w:val="24"/>
            <w:szCs w:val="24"/>
          </w:rPr>
          <m:t xml:space="preserve"> </m:t>
        </m:r>
      </m:oMath>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Eqn 3</w:t>
      </w:r>
    </w:p>
    <w:p w:rsidR="00710C37" w:rsidRDefault="00775B6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Because the amount of mannitol consumed cannot be completely accounted for by biomass and fermentation products, there are two different assumptions that can be made to calculate the NADH produced.  These two assumptions represent lower and upper bounds on</w:t>
      </w:r>
      <w:r>
        <w:rPr>
          <w:rFonts w:ascii="Times New Roman" w:eastAsia="Times New Roman" w:hAnsi="Times New Roman" w:cs="Times New Roman"/>
          <w:sz w:val="24"/>
          <w:szCs w:val="24"/>
        </w:rPr>
        <w:t xml:space="preserve"> the concentration of NADH regenerated. Using these bounds, we provide a range of NADH concentrations in Table 1. </w:t>
      </w:r>
    </w:p>
    <w:p w:rsidR="00710C37" w:rsidRDefault="00775B60">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Method 1: Establishing a lower bound of NADH regenerated</w:t>
      </w:r>
    </w:p>
    <w:p w:rsidR="00710C37" w:rsidRDefault="00775B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method assumes that the production or consumption of NADH is only due to format</w:t>
      </w:r>
      <w:r>
        <w:rPr>
          <w:rFonts w:ascii="Times New Roman" w:eastAsia="Times New Roman" w:hAnsi="Times New Roman" w:cs="Times New Roman"/>
          <w:sz w:val="24"/>
          <w:szCs w:val="24"/>
        </w:rPr>
        <w:t>ion of fermentation products. Since 79% of the carbon in consumed mannitol was recovered in fermentation products and biomass under EET conditions, this method accounts for the majority of the NADH produced. However, this method does not account for any un</w:t>
      </w:r>
      <w:r>
        <w:rPr>
          <w:rFonts w:ascii="Times New Roman" w:eastAsia="Times New Roman" w:hAnsi="Times New Roman" w:cs="Times New Roman"/>
          <w:sz w:val="24"/>
          <w:szCs w:val="24"/>
        </w:rPr>
        <w:t>detected metabolites and may underestimate the total NADH produced. Thus, we consider this calculation to be a lower bound on the amount of NADH regenerated.</w:t>
      </w:r>
    </w:p>
    <w:p w:rsidR="00710C37" w:rsidRDefault="00710C37">
      <w:pPr>
        <w:spacing w:after="0" w:line="240" w:lineRule="auto"/>
        <w:ind w:firstLine="720"/>
        <w:jc w:val="both"/>
        <w:rPr>
          <w:rFonts w:ascii="Times New Roman" w:eastAsia="Times New Roman" w:hAnsi="Times New Roman" w:cs="Times New Roman"/>
          <w:sz w:val="24"/>
          <w:szCs w:val="24"/>
        </w:rPr>
      </w:pPr>
    </w:p>
    <w:p w:rsidR="00710C37" w:rsidRDefault="00775B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method uses the known stoichiometry of the fermentation pathways (</w:t>
      </w:r>
      <w:proofErr w:type="spellStart"/>
      <w:r>
        <w:rPr>
          <w:rFonts w:ascii="Times New Roman" w:eastAsia="Times New Roman" w:hAnsi="Times New Roman" w:cs="Times New Roman"/>
          <w:sz w:val="24"/>
          <w:szCs w:val="24"/>
        </w:rPr>
        <w:t>McFeeters</w:t>
      </w:r>
      <w:proofErr w:type="spellEnd"/>
      <w:r>
        <w:rPr>
          <w:rFonts w:ascii="Times New Roman" w:eastAsia="Times New Roman" w:hAnsi="Times New Roman" w:cs="Times New Roman"/>
          <w:sz w:val="24"/>
          <w:szCs w:val="24"/>
        </w:rPr>
        <w:t xml:space="preserve"> and Chen, 1986) </w:t>
      </w:r>
      <w:r>
        <w:rPr>
          <w:rFonts w:ascii="Times New Roman" w:eastAsia="Times New Roman" w:hAnsi="Times New Roman" w:cs="Times New Roman"/>
          <w:sz w:val="24"/>
          <w:szCs w:val="24"/>
        </w:rPr>
        <w:t xml:space="preserve">to assume </w:t>
      </w:r>
      <w:proofErr w:type="gramStart"/>
      <w:r>
        <w:rPr>
          <w:rFonts w:ascii="Times New Roman" w:eastAsia="Times New Roman" w:hAnsi="Times New Roman" w:cs="Times New Roman"/>
          <w:sz w:val="24"/>
          <w:szCs w:val="24"/>
        </w:rPr>
        <w:t>1.5  mol</w:t>
      </w:r>
      <w:proofErr w:type="gramEnd"/>
      <w:r>
        <w:rPr>
          <w:rFonts w:ascii="Times New Roman" w:eastAsia="Times New Roman" w:hAnsi="Times New Roman" w:cs="Times New Roman"/>
          <w:sz w:val="24"/>
          <w:szCs w:val="24"/>
        </w:rPr>
        <w:t xml:space="preserve"> of NADH is produced for each mole of lactate, acetate, ethanol, pyruvate, succinate and </w:t>
      </w:r>
      <w:proofErr w:type="spellStart"/>
      <w:r>
        <w:rPr>
          <w:rFonts w:ascii="Times New Roman" w:eastAsia="Times New Roman" w:hAnsi="Times New Roman" w:cs="Times New Roman"/>
          <w:sz w:val="24"/>
          <w:szCs w:val="24"/>
        </w:rPr>
        <w:t>formate</w:t>
      </w:r>
      <w:proofErr w:type="spellEnd"/>
      <w:r>
        <w:rPr>
          <w:rFonts w:ascii="Times New Roman" w:eastAsia="Times New Roman" w:hAnsi="Times New Roman" w:cs="Times New Roman"/>
          <w:sz w:val="24"/>
          <w:szCs w:val="24"/>
        </w:rPr>
        <w:t xml:space="preserve"> detected. Using this method, we estimate that 96% of the NADH is </w:t>
      </w:r>
      <w:proofErr w:type="spellStart"/>
      <w:r>
        <w:rPr>
          <w:rFonts w:ascii="Times New Roman" w:eastAsia="Times New Roman" w:hAnsi="Times New Roman" w:cs="Times New Roman"/>
          <w:sz w:val="24"/>
          <w:szCs w:val="24"/>
        </w:rPr>
        <w:t>reoxidized</w:t>
      </w:r>
      <w:proofErr w:type="spellEnd"/>
      <w:r>
        <w:rPr>
          <w:rFonts w:ascii="Times New Roman" w:eastAsia="Times New Roman" w:hAnsi="Times New Roman" w:cs="Times New Roman"/>
          <w:sz w:val="24"/>
          <w:szCs w:val="24"/>
        </w:rPr>
        <w:t xml:space="preserve"> under EET conditions. Of this fraction, 63% of the NADH is </w:t>
      </w:r>
      <w:proofErr w:type="spellStart"/>
      <w:r>
        <w:rPr>
          <w:rFonts w:ascii="Times New Roman" w:eastAsia="Times New Roman" w:hAnsi="Times New Roman" w:cs="Times New Roman"/>
          <w:sz w:val="24"/>
          <w:szCs w:val="24"/>
        </w:rPr>
        <w:t>reoxid</w:t>
      </w:r>
      <w:r>
        <w:rPr>
          <w:rFonts w:ascii="Times New Roman" w:eastAsia="Times New Roman" w:hAnsi="Times New Roman" w:cs="Times New Roman"/>
          <w:sz w:val="24"/>
          <w:szCs w:val="24"/>
        </w:rPr>
        <w:t>ized</w:t>
      </w:r>
      <w:proofErr w:type="spellEnd"/>
      <w:r>
        <w:rPr>
          <w:rFonts w:ascii="Times New Roman" w:eastAsia="Times New Roman" w:hAnsi="Times New Roman" w:cs="Times New Roman"/>
          <w:sz w:val="24"/>
          <w:szCs w:val="24"/>
        </w:rPr>
        <w:t xml:space="preserve"> by substrate-level phosphorylation and 27% by EET. In contrast, under OC condition, 69% of the NADH produced is </w:t>
      </w:r>
      <w:proofErr w:type="spellStart"/>
      <w:r>
        <w:rPr>
          <w:rFonts w:ascii="Times New Roman" w:eastAsia="Times New Roman" w:hAnsi="Times New Roman" w:cs="Times New Roman"/>
          <w:sz w:val="24"/>
          <w:szCs w:val="24"/>
        </w:rPr>
        <w:t>reoxidized</w:t>
      </w:r>
      <w:proofErr w:type="spellEnd"/>
      <w:r>
        <w:rPr>
          <w:rFonts w:ascii="Times New Roman" w:eastAsia="Times New Roman" w:hAnsi="Times New Roman" w:cs="Times New Roman"/>
          <w:sz w:val="24"/>
          <w:szCs w:val="24"/>
        </w:rPr>
        <w:t xml:space="preserve"> via substrate-level phosphorylation. </w:t>
      </w:r>
    </w:p>
    <w:p w:rsidR="00710C37" w:rsidRDefault="00710C37">
      <w:pPr>
        <w:rPr>
          <w:rFonts w:ascii="Times New Roman" w:eastAsia="Times New Roman" w:hAnsi="Times New Roman" w:cs="Times New Roman"/>
          <w:b/>
          <w:sz w:val="24"/>
          <w:szCs w:val="24"/>
          <w:u w:val="single"/>
        </w:rPr>
      </w:pPr>
    </w:p>
    <w:p w:rsidR="00710C37" w:rsidRDefault="00775B6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Method 2: Establishing an Upper Bound of NADH regenerated</w:t>
      </w:r>
    </w:p>
    <w:p w:rsidR="00710C37" w:rsidRDefault="00775B6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method assumes NADH produc</w:t>
      </w:r>
      <w:r>
        <w:rPr>
          <w:rFonts w:ascii="Times New Roman" w:eastAsia="Times New Roman" w:hAnsi="Times New Roman" w:cs="Times New Roman"/>
          <w:sz w:val="24"/>
          <w:szCs w:val="24"/>
        </w:rPr>
        <w:t>tion is directly related to disappearance of mannitol. Thus, this method overestimates this fraction since a proportion of this mannitol will be used for biomass synthesis and will not lead to NADH generation.</w:t>
      </w:r>
    </w:p>
    <w:p w:rsidR="00710C37" w:rsidRDefault="00775B6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method uses the known stoichiometry of ma</w:t>
      </w:r>
      <w:r>
        <w:rPr>
          <w:rFonts w:ascii="Times New Roman" w:eastAsia="Times New Roman" w:hAnsi="Times New Roman" w:cs="Times New Roman"/>
          <w:sz w:val="24"/>
          <w:szCs w:val="24"/>
        </w:rPr>
        <w:t xml:space="preserve">nnitol oxidation to assume that 3 mol of NADH is produced for each mole of mannitol that is consumed. Calculations performed using this method estimate that 77% of the NADH is </w:t>
      </w:r>
      <w:proofErr w:type="spellStart"/>
      <w:r>
        <w:rPr>
          <w:rFonts w:ascii="Times New Roman" w:eastAsia="Times New Roman" w:hAnsi="Times New Roman" w:cs="Times New Roman"/>
          <w:sz w:val="24"/>
          <w:szCs w:val="24"/>
        </w:rPr>
        <w:t>reoxidized</w:t>
      </w:r>
      <w:proofErr w:type="spellEnd"/>
      <w:r>
        <w:rPr>
          <w:rFonts w:ascii="Times New Roman" w:eastAsia="Times New Roman" w:hAnsi="Times New Roman" w:cs="Times New Roman"/>
          <w:sz w:val="24"/>
          <w:szCs w:val="24"/>
        </w:rPr>
        <w:t xml:space="preserve"> under EET conditions. Of this fraction, 55% of the NADH is regenerate</w:t>
      </w:r>
      <w:r>
        <w:rPr>
          <w:rFonts w:ascii="Times New Roman" w:eastAsia="Times New Roman" w:hAnsi="Times New Roman" w:cs="Times New Roman"/>
          <w:sz w:val="24"/>
          <w:szCs w:val="24"/>
        </w:rPr>
        <w:t xml:space="preserve">d through substrate-level phosphorylation and 21% via EET. In contrast, 66% of the NADH produced is </w:t>
      </w:r>
      <w:proofErr w:type="spellStart"/>
      <w:r>
        <w:rPr>
          <w:rFonts w:ascii="Times New Roman" w:eastAsia="Times New Roman" w:hAnsi="Times New Roman" w:cs="Times New Roman"/>
          <w:sz w:val="24"/>
          <w:szCs w:val="24"/>
        </w:rPr>
        <w:t>reoxidized</w:t>
      </w:r>
      <w:proofErr w:type="spellEnd"/>
      <w:r>
        <w:rPr>
          <w:rFonts w:ascii="Times New Roman" w:eastAsia="Times New Roman" w:hAnsi="Times New Roman" w:cs="Times New Roman"/>
          <w:sz w:val="24"/>
          <w:szCs w:val="24"/>
        </w:rPr>
        <w:t xml:space="preserve"> via substrate-level phosphorylation under OC conditions.</w:t>
      </w:r>
    </w:p>
    <w:p w:rsidR="00710C37" w:rsidRDefault="00710C37">
      <w:pPr>
        <w:jc w:val="both"/>
        <w:rPr>
          <w:rFonts w:ascii="Times New Roman" w:eastAsia="Times New Roman" w:hAnsi="Times New Roman" w:cs="Times New Roman"/>
          <w:sz w:val="24"/>
          <w:szCs w:val="24"/>
        </w:rPr>
      </w:pPr>
    </w:p>
    <w:p w:rsidR="00710C37" w:rsidRDefault="00775B60">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References</w:t>
      </w:r>
    </w:p>
    <w:p w:rsidR="00710C37" w:rsidRDefault="00775B60">
      <w:p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Shuler M.L., </w:t>
      </w:r>
      <w:proofErr w:type="spellStart"/>
      <w:r>
        <w:rPr>
          <w:rFonts w:ascii="Times New Roman" w:eastAsia="Times New Roman" w:hAnsi="Times New Roman" w:cs="Times New Roman"/>
          <w:sz w:val="24"/>
          <w:szCs w:val="24"/>
          <w:highlight w:val="white"/>
        </w:rPr>
        <w:t>Kargi</w:t>
      </w:r>
      <w:proofErr w:type="spellEnd"/>
      <w:r>
        <w:rPr>
          <w:rFonts w:ascii="Times New Roman" w:eastAsia="Times New Roman" w:hAnsi="Times New Roman" w:cs="Times New Roman"/>
          <w:sz w:val="24"/>
          <w:szCs w:val="24"/>
          <w:highlight w:val="white"/>
        </w:rPr>
        <w:t xml:space="preserve"> F. 2002. Bioprocess Engineering: Basic Concepts. Prentice</w:t>
      </w:r>
      <w:r>
        <w:rPr>
          <w:rFonts w:ascii="Times New Roman" w:eastAsia="Times New Roman" w:hAnsi="Times New Roman" w:cs="Times New Roman"/>
          <w:sz w:val="24"/>
          <w:szCs w:val="24"/>
          <w:highlight w:val="white"/>
        </w:rPr>
        <w:t xml:space="preserve"> Hall.</w:t>
      </w:r>
    </w:p>
    <w:p w:rsidR="00710C37" w:rsidRDefault="00710C37">
      <w:pPr>
        <w:ind w:firstLine="720"/>
        <w:jc w:val="both"/>
        <w:rPr>
          <w:rFonts w:ascii="Times New Roman" w:eastAsia="Times New Roman" w:hAnsi="Times New Roman" w:cs="Times New Roman"/>
          <w:sz w:val="24"/>
          <w:szCs w:val="24"/>
        </w:rPr>
      </w:pPr>
    </w:p>
    <w:sectPr w:rsidR="00710C3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C37"/>
    <w:rsid w:val="00710C37"/>
    <w:rsid w:val="00775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68D741-FCBA-49CF-920E-51908F73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9D9"/>
  </w:style>
  <w:style w:type="paragraph" w:styleId="Heading1">
    <w:name w:val="heading 1"/>
    <w:basedOn w:val="Normal"/>
    <w:next w:val="Normal"/>
    <w:link w:val="Heading1Char"/>
    <w:uiPriority w:val="9"/>
    <w:qFormat/>
    <w:rsid w:val="009249D9"/>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249D9"/>
    <w:rPr>
      <w:rFonts w:ascii="Calibri" w:eastAsia="Calibri" w:hAnsi="Calibri" w:cs="Calibri"/>
      <w:b/>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Zrr20ZVI/icY2sy+LPSDs5T0iQ==">AMUW2mU/Awp448x2zA8QPeU+/x3OWL1+tljH97eiKSklD/MbRoDM2WCa2oh0gDMaBol3ptm08rEsy2RH58Uk3qQGXMII23f3u/CMDwlVPvlnAv+tUtgdd6ryrwJZT3dyQ6MYJAqDtgSM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Stevens</dc:creator>
  <cp:lastModifiedBy>Caroline Ajo-Franklin</cp:lastModifiedBy>
  <cp:revision>2</cp:revision>
  <dcterms:created xsi:type="dcterms:W3CDTF">2022-02-10T12:38:00Z</dcterms:created>
  <dcterms:modified xsi:type="dcterms:W3CDTF">2022-02-10T12:38:00Z</dcterms:modified>
</cp:coreProperties>
</file>