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D5B5F" w14:textId="0C22EF77" w:rsidR="002009AC" w:rsidRPr="003D0D89" w:rsidRDefault="00382BB3" w:rsidP="003D0D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 File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  <w:r w:rsidR="002009AC" w:rsidRPr="003D0D89">
        <w:rPr>
          <w:rFonts w:ascii="Times New Roman" w:hAnsi="Times New Roman" w:cs="Times New Roman"/>
          <w:sz w:val="24"/>
          <w:szCs w:val="24"/>
        </w:rPr>
        <w:t>: Experimental approaches taken to detect subcellular localisation of CCC1 protein.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1417"/>
        <w:gridCol w:w="1276"/>
        <w:gridCol w:w="3209"/>
      </w:tblGrid>
      <w:tr w:rsidR="002009AC" w:rsidRPr="003D0D89" w14:paraId="67F285B4" w14:textId="77777777" w:rsidTr="003D0D89">
        <w:tc>
          <w:tcPr>
            <w:tcW w:w="1980" w:type="dxa"/>
          </w:tcPr>
          <w:p w14:paraId="6AFDE40C" w14:textId="6746F263" w:rsidR="002009AC" w:rsidRPr="003D0D89" w:rsidRDefault="002009AC" w:rsidP="003D0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Placement</w:t>
            </w:r>
          </w:p>
        </w:tc>
        <w:tc>
          <w:tcPr>
            <w:tcW w:w="1134" w:type="dxa"/>
          </w:tcPr>
          <w:p w14:paraId="292292ED" w14:textId="34309A23" w:rsidR="002009AC" w:rsidRPr="003D0D89" w:rsidRDefault="002009AC" w:rsidP="003D0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</w:t>
            </w:r>
          </w:p>
        </w:tc>
        <w:tc>
          <w:tcPr>
            <w:tcW w:w="1417" w:type="dxa"/>
          </w:tcPr>
          <w:p w14:paraId="1CA6E428" w14:textId="7A39DD56" w:rsidR="002009AC" w:rsidRPr="003D0D89" w:rsidRDefault="002009AC" w:rsidP="003D0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Orientation</w:t>
            </w:r>
          </w:p>
        </w:tc>
        <w:tc>
          <w:tcPr>
            <w:tcW w:w="1276" w:type="dxa"/>
          </w:tcPr>
          <w:p w14:paraId="7088CA7B" w14:textId="2DEA812C" w:rsidR="002009AC" w:rsidRPr="003D0D89" w:rsidRDefault="002009AC" w:rsidP="003D0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Promoter</w:t>
            </w:r>
          </w:p>
        </w:tc>
        <w:tc>
          <w:tcPr>
            <w:tcW w:w="3209" w:type="dxa"/>
          </w:tcPr>
          <w:p w14:paraId="2E6B5D99" w14:textId="67DEFC7A" w:rsidR="002009AC" w:rsidRPr="003D0D89" w:rsidRDefault="002009AC" w:rsidP="003D0D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2009AC" w:rsidRPr="003D0D89" w14:paraId="664BCCB8" w14:textId="77777777" w:rsidTr="003D0D89">
        <w:tc>
          <w:tcPr>
            <w:tcW w:w="1980" w:type="dxa"/>
          </w:tcPr>
          <w:p w14:paraId="4F4DC208" w14:textId="30D5C3AB" w:rsidR="002009AC" w:rsidRPr="003D0D89" w:rsidRDefault="002009AC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No tag</w:t>
            </w:r>
          </w:p>
        </w:tc>
        <w:tc>
          <w:tcPr>
            <w:tcW w:w="1134" w:type="dxa"/>
          </w:tcPr>
          <w:p w14:paraId="75199AC0" w14:textId="28A395E3" w:rsidR="002009AC" w:rsidRPr="003D0D89" w:rsidRDefault="002009AC" w:rsidP="003D0D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C47025F" w14:textId="5B9306CA" w:rsidR="002009AC" w:rsidRPr="003D0D89" w:rsidRDefault="002009AC" w:rsidP="003D0D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48EABD" w14:textId="1A6EE60E" w:rsidR="002009AC" w:rsidRPr="003D0D89" w:rsidRDefault="002009AC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promoter</w:t>
            </w:r>
          </w:p>
        </w:tc>
        <w:tc>
          <w:tcPr>
            <w:tcW w:w="3209" w:type="dxa"/>
          </w:tcPr>
          <w:p w14:paraId="72529C87" w14:textId="4ACCBBAE" w:rsidR="002009AC" w:rsidRPr="003D0D89" w:rsidRDefault="002009AC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Complements </w:t>
            </w: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KO</w:t>
            </w:r>
          </w:p>
        </w:tc>
      </w:tr>
      <w:tr w:rsidR="00A267A3" w:rsidRPr="003D0D89" w14:paraId="1942713A" w14:textId="77777777" w:rsidTr="003D0D89">
        <w:tc>
          <w:tcPr>
            <w:tcW w:w="1980" w:type="dxa"/>
          </w:tcPr>
          <w:p w14:paraId="4A5799A4" w14:textId="73E4F902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No tag</w:t>
            </w:r>
          </w:p>
        </w:tc>
        <w:tc>
          <w:tcPr>
            <w:tcW w:w="1134" w:type="dxa"/>
          </w:tcPr>
          <w:p w14:paraId="1DADFD2D" w14:textId="77777777" w:rsidR="00A267A3" w:rsidRPr="003D0D89" w:rsidRDefault="00A267A3" w:rsidP="003D0D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6D65D99" w14:textId="77777777" w:rsidR="00A267A3" w:rsidRPr="003D0D89" w:rsidRDefault="00A267A3" w:rsidP="003D0D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D17D8A" w14:textId="7716A1FF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2x35S</w:t>
            </w:r>
          </w:p>
        </w:tc>
        <w:tc>
          <w:tcPr>
            <w:tcW w:w="3209" w:type="dxa"/>
          </w:tcPr>
          <w:p w14:paraId="77C9F17E" w14:textId="3A8D71C3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Complements </w:t>
            </w: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KO</w:t>
            </w:r>
          </w:p>
        </w:tc>
      </w:tr>
      <w:tr w:rsidR="00A267A3" w:rsidRPr="003D0D89" w14:paraId="451F5D1A" w14:textId="77777777" w:rsidTr="003D0D89">
        <w:tc>
          <w:tcPr>
            <w:tcW w:w="1980" w:type="dxa"/>
          </w:tcPr>
          <w:p w14:paraId="5E004366" w14:textId="12B36DAE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C-terminal</w:t>
            </w:r>
          </w:p>
        </w:tc>
        <w:tc>
          <w:tcPr>
            <w:tcW w:w="1134" w:type="dxa"/>
          </w:tcPr>
          <w:p w14:paraId="4B26874E" w14:textId="07F140F2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</w:p>
        </w:tc>
        <w:tc>
          <w:tcPr>
            <w:tcW w:w="1417" w:type="dxa"/>
          </w:tcPr>
          <w:p w14:paraId="02203B8B" w14:textId="3C263ABB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cytosolic</w:t>
            </w:r>
          </w:p>
        </w:tc>
        <w:tc>
          <w:tcPr>
            <w:tcW w:w="1276" w:type="dxa"/>
          </w:tcPr>
          <w:p w14:paraId="791AFEA6" w14:textId="2B7C59D0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promoter</w:t>
            </w:r>
          </w:p>
        </w:tc>
        <w:tc>
          <w:tcPr>
            <w:tcW w:w="3209" w:type="dxa"/>
          </w:tcPr>
          <w:p w14:paraId="2021A0B7" w14:textId="2762170C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No transformants recovered (WT or </w:t>
            </w: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67A3" w:rsidRPr="003D0D89" w14:paraId="251A5B42" w14:textId="77777777" w:rsidTr="003D0D89">
        <w:tc>
          <w:tcPr>
            <w:tcW w:w="1980" w:type="dxa"/>
          </w:tcPr>
          <w:p w14:paraId="5F43995E" w14:textId="1CC2C312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N-terminal</w:t>
            </w:r>
          </w:p>
        </w:tc>
        <w:tc>
          <w:tcPr>
            <w:tcW w:w="1134" w:type="dxa"/>
          </w:tcPr>
          <w:p w14:paraId="3F5F8CB5" w14:textId="3A9FC86F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</w:p>
        </w:tc>
        <w:tc>
          <w:tcPr>
            <w:tcW w:w="1417" w:type="dxa"/>
          </w:tcPr>
          <w:p w14:paraId="6B1F6D73" w14:textId="65BB3053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cytosolic</w:t>
            </w:r>
          </w:p>
        </w:tc>
        <w:tc>
          <w:tcPr>
            <w:tcW w:w="1276" w:type="dxa"/>
          </w:tcPr>
          <w:p w14:paraId="1A9E14A3" w14:textId="5C8E5947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promoter</w:t>
            </w:r>
          </w:p>
        </w:tc>
        <w:tc>
          <w:tcPr>
            <w:tcW w:w="3209" w:type="dxa"/>
          </w:tcPr>
          <w:p w14:paraId="4FA5C243" w14:textId="1BA81799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No transformants recovered (WT or </w:t>
            </w: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67A3" w:rsidRPr="003D0D89" w14:paraId="3104A49B" w14:textId="77777777" w:rsidTr="003D0D89">
        <w:tc>
          <w:tcPr>
            <w:tcW w:w="1980" w:type="dxa"/>
          </w:tcPr>
          <w:p w14:paraId="7F2BC16C" w14:textId="392CE5BA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N-terminal</w:t>
            </w:r>
          </w:p>
        </w:tc>
        <w:tc>
          <w:tcPr>
            <w:tcW w:w="1134" w:type="dxa"/>
          </w:tcPr>
          <w:p w14:paraId="4CA85341" w14:textId="21286CBE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FLAG</w:t>
            </w:r>
          </w:p>
        </w:tc>
        <w:tc>
          <w:tcPr>
            <w:tcW w:w="1417" w:type="dxa"/>
          </w:tcPr>
          <w:p w14:paraId="1215C9F4" w14:textId="3DCFFC07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cytosolic</w:t>
            </w:r>
          </w:p>
        </w:tc>
        <w:tc>
          <w:tcPr>
            <w:tcW w:w="1276" w:type="dxa"/>
          </w:tcPr>
          <w:p w14:paraId="035F33CB" w14:textId="5C03D507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promoter</w:t>
            </w:r>
          </w:p>
        </w:tc>
        <w:tc>
          <w:tcPr>
            <w:tcW w:w="3209" w:type="dxa"/>
          </w:tcPr>
          <w:p w14:paraId="708ECABD" w14:textId="3D8A72B4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No transformants recovered (WT or </w:t>
            </w: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67A3" w:rsidRPr="003D0D89" w14:paraId="3452F375" w14:textId="77777777" w:rsidTr="003D0D89">
        <w:tc>
          <w:tcPr>
            <w:tcW w:w="1980" w:type="dxa"/>
          </w:tcPr>
          <w:p w14:paraId="1A2B902C" w14:textId="5603CBBA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r w:rsidR="00055115"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, placement after amino acid residues </w:t>
            </w:r>
            <w:r w:rsidR="003C6378" w:rsidRPr="003D0D89">
              <w:rPr>
                <w:rFonts w:ascii="Times New Roman" w:hAnsi="Times New Roman" w:cs="Times New Roman"/>
                <w:sz w:val="24"/>
                <w:szCs w:val="24"/>
              </w:rPr>
              <w:t>640, 827, 856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446B4DD" w14:textId="23C1A5C8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</w:p>
        </w:tc>
        <w:tc>
          <w:tcPr>
            <w:tcW w:w="1417" w:type="dxa"/>
          </w:tcPr>
          <w:p w14:paraId="0D3B224E" w14:textId="14821DDB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cytosolic</w:t>
            </w:r>
          </w:p>
        </w:tc>
        <w:tc>
          <w:tcPr>
            <w:tcW w:w="1276" w:type="dxa"/>
          </w:tcPr>
          <w:p w14:paraId="5B2D10F9" w14:textId="1A105E63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promoter</w:t>
            </w:r>
          </w:p>
        </w:tc>
        <w:tc>
          <w:tcPr>
            <w:tcW w:w="3209" w:type="dxa"/>
          </w:tcPr>
          <w:p w14:paraId="779543B2" w14:textId="7652A266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No fluorescence, no complementation of </w:t>
            </w: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KO</w:t>
            </w:r>
          </w:p>
        </w:tc>
      </w:tr>
      <w:tr w:rsidR="00A267A3" w:rsidRPr="003D0D89" w14:paraId="4DD64ADF" w14:textId="77777777" w:rsidTr="003D0D89">
        <w:tc>
          <w:tcPr>
            <w:tcW w:w="1980" w:type="dxa"/>
          </w:tcPr>
          <w:p w14:paraId="6D52A9A4" w14:textId="3E4A2911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  <w:r w:rsidR="00055115" w:rsidRPr="003D0D89">
              <w:rPr>
                <w:rFonts w:ascii="Times New Roman" w:hAnsi="Times New Roman" w:cs="Times New Roman"/>
                <w:sz w:val="24"/>
                <w:szCs w:val="24"/>
              </w:rPr>
              <w:t>, placement after amino acid residue</w:t>
            </w:r>
            <w:r w:rsidR="003C6378"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430</w:t>
            </w:r>
          </w:p>
        </w:tc>
        <w:tc>
          <w:tcPr>
            <w:tcW w:w="1134" w:type="dxa"/>
          </w:tcPr>
          <w:p w14:paraId="1742E620" w14:textId="299C8C45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mCherry</w:t>
            </w:r>
            <w:proofErr w:type="spellEnd"/>
          </w:p>
        </w:tc>
        <w:tc>
          <w:tcPr>
            <w:tcW w:w="1417" w:type="dxa"/>
          </w:tcPr>
          <w:p w14:paraId="7B27C765" w14:textId="54E7001A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luminal</w:t>
            </w:r>
          </w:p>
        </w:tc>
        <w:tc>
          <w:tcPr>
            <w:tcW w:w="1276" w:type="dxa"/>
          </w:tcPr>
          <w:p w14:paraId="3C70E83E" w14:textId="0101C493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promoter</w:t>
            </w:r>
          </w:p>
        </w:tc>
        <w:tc>
          <w:tcPr>
            <w:tcW w:w="3209" w:type="dxa"/>
          </w:tcPr>
          <w:p w14:paraId="7C8322AD" w14:textId="6AF10C47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No fluorescence, no complementation of </w:t>
            </w: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KO</w:t>
            </w:r>
          </w:p>
        </w:tc>
      </w:tr>
      <w:tr w:rsidR="00A267A3" w:rsidRPr="003D0D89" w14:paraId="7F824A5B" w14:textId="77777777" w:rsidTr="003D0D89">
        <w:tc>
          <w:tcPr>
            <w:tcW w:w="1980" w:type="dxa"/>
          </w:tcPr>
          <w:p w14:paraId="269539CC" w14:textId="4EE12288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N-terminal</w:t>
            </w:r>
          </w:p>
        </w:tc>
        <w:tc>
          <w:tcPr>
            <w:tcW w:w="1134" w:type="dxa"/>
          </w:tcPr>
          <w:p w14:paraId="45D70DEB" w14:textId="250E80A4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GFP</w:t>
            </w:r>
          </w:p>
        </w:tc>
        <w:tc>
          <w:tcPr>
            <w:tcW w:w="1417" w:type="dxa"/>
          </w:tcPr>
          <w:p w14:paraId="663DBCCC" w14:textId="4FE7087D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cytosolic</w:t>
            </w:r>
          </w:p>
        </w:tc>
        <w:tc>
          <w:tcPr>
            <w:tcW w:w="1276" w:type="dxa"/>
          </w:tcPr>
          <w:p w14:paraId="6980C270" w14:textId="15C99362" w:rsidR="00A267A3" w:rsidRPr="003D0D89" w:rsidRDefault="00A267A3" w:rsidP="003D0D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EXP7</w:t>
            </w:r>
          </w:p>
        </w:tc>
        <w:tc>
          <w:tcPr>
            <w:tcW w:w="3209" w:type="dxa"/>
          </w:tcPr>
          <w:p w14:paraId="0BB024D9" w14:textId="28389F8B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Complementation of root hair elongation in </w:t>
            </w: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KO</w:t>
            </w:r>
          </w:p>
        </w:tc>
      </w:tr>
      <w:tr w:rsidR="00A267A3" w:rsidRPr="003D0D89" w14:paraId="7308FBB9" w14:textId="77777777" w:rsidTr="003D0D89">
        <w:tc>
          <w:tcPr>
            <w:tcW w:w="1980" w:type="dxa"/>
          </w:tcPr>
          <w:p w14:paraId="446B87BC" w14:textId="3D157771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No tag</w:t>
            </w:r>
          </w:p>
        </w:tc>
        <w:tc>
          <w:tcPr>
            <w:tcW w:w="1134" w:type="dxa"/>
          </w:tcPr>
          <w:p w14:paraId="6C4308BE" w14:textId="52306B88" w:rsidR="00A267A3" w:rsidRPr="003D0D89" w:rsidRDefault="00A267A3" w:rsidP="003D0D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B34BDF" w14:textId="735FCF78" w:rsidR="00A267A3" w:rsidRPr="003D0D89" w:rsidRDefault="00A267A3" w:rsidP="003D0D8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7284C1" w14:textId="7F1B6F39" w:rsidR="00A267A3" w:rsidRPr="003D0D89" w:rsidRDefault="00A267A3" w:rsidP="003D0D8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EXP7</w:t>
            </w:r>
          </w:p>
        </w:tc>
        <w:tc>
          <w:tcPr>
            <w:tcW w:w="3209" w:type="dxa"/>
          </w:tcPr>
          <w:p w14:paraId="2B5B9251" w14:textId="7A099E9D" w:rsidR="00A267A3" w:rsidRPr="003D0D89" w:rsidRDefault="00A267A3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Complementation of root hair elongation in </w:t>
            </w: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KO</w:t>
            </w:r>
          </w:p>
        </w:tc>
      </w:tr>
      <w:tr w:rsidR="005265C4" w:rsidRPr="003D0D89" w14:paraId="5B9E1389" w14:textId="77777777" w:rsidTr="003D0D89">
        <w:tc>
          <w:tcPr>
            <w:tcW w:w="198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10328F3" w14:textId="77777777" w:rsidR="005265C4" w:rsidRPr="003D0D89" w:rsidRDefault="005265C4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146C73F" w14:textId="77777777" w:rsidR="005265C4" w:rsidRPr="003D0D89" w:rsidRDefault="005265C4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A579ED7" w14:textId="77777777" w:rsidR="005265C4" w:rsidRPr="003D0D89" w:rsidRDefault="005265C4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</w:tcPr>
          <w:p w14:paraId="24A26F7E" w14:textId="77777777" w:rsidR="005265C4" w:rsidRPr="003D0D89" w:rsidRDefault="005265C4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  <w:shd w:val="clear" w:color="auto" w:fill="E7E6E6" w:themeFill="background2"/>
          </w:tcPr>
          <w:p w14:paraId="735694F9" w14:textId="528A7474" w:rsidR="005265C4" w:rsidRPr="003D0D89" w:rsidRDefault="005265C4" w:rsidP="003D0D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Y="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09AC" w:rsidRPr="003D0D89" w14:paraId="5A4443E4" w14:textId="77777777" w:rsidTr="002009AC">
        <w:tc>
          <w:tcPr>
            <w:tcW w:w="9016" w:type="dxa"/>
          </w:tcPr>
          <w:p w14:paraId="2F368976" w14:textId="279A3C00" w:rsidR="002009AC" w:rsidRPr="003D0D89" w:rsidRDefault="002009AC" w:rsidP="003D0D8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Rabbit-derived antibody generated against CCC1 specific peptide sequence</w:t>
            </w:r>
            <w:r w:rsidR="006319EF"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DLLVENVPRMLIVRGYHRD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, no band detected at expected CCC1 size in Western blots; multiple unspecific bands detected</w:t>
            </w:r>
            <w:r w:rsidR="00A267A3"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46EB48C" w14:textId="77777777" w:rsidR="00887E67" w:rsidRPr="003D0D89" w:rsidRDefault="00887E67" w:rsidP="003D0D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7AFE89" w14:textId="77777777" w:rsidR="004C5D4F" w:rsidRPr="003D0D89" w:rsidRDefault="004C5D4F" w:rsidP="003D0D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D0D89">
        <w:rPr>
          <w:rFonts w:ascii="Times New Roman" w:hAnsi="Times New Roman" w:cs="Times New Roman"/>
          <w:sz w:val="24"/>
          <w:szCs w:val="24"/>
        </w:rPr>
        <w:br w:type="page"/>
      </w:r>
    </w:p>
    <w:p w14:paraId="3A7969AE" w14:textId="33496C31" w:rsidR="007C1935" w:rsidRPr="003D0D89" w:rsidRDefault="00382BB3" w:rsidP="003D0D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Supplementary File 1b: </w:t>
      </w:r>
      <w:r w:rsidR="000D4FDD" w:rsidRPr="003D0D89">
        <w:rPr>
          <w:rFonts w:ascii="Times New Roman" w:hAnsi="Times New Roman" w:cs="Times New Roman"/>
          <w:sz w:val="24"/>
          <w:szCs w:val="24"/>
        </w:rPr>
        <w:t xml:space="preserve">Strategies to isolate a double </w:t>
      </w:r>
      <w:r w:rsidR="000D4FDD" w:rsidRPr="003D0D89">
        <w:rPr>
          <w:rFonts w:ascii="Times New Roman" w:hAnsi="Times New Roman" w:cs="Times New Roman"/>
          <w:i/>
          <w:iCs/>
          <w:sz w:val="24"/>
          <w:szCs w:val="24"/>
        </w:rPr>
        <w:t>ccc1-2 det3</w:t>
      </w:r>
      <w:r w:rsidR="000D4FDD" w:rsidRPr="003D0D89">
        <w:rPr>
          <w:rFonts w:ascii="Times New Roman" w:hAnsi="Times New Roman" w:cs="Times New Roman"/>
          <w:sz w:val="24"/>
          <w:szCs w:val="24"/>
        </w:rPr>
        <w:t xml:space="preserve"> or a triple </w:t>
      </w:r>
      <w:r w:rsidR="000D4FDD" w:rsidRPr="003D0D89">
        <w:rPr>
          <w:rFonts w:ascii="Times New Roman" w:hAnsi="Times New Roman" w:cs="Times New Roman"/>
          <w:i/>
          <w:iCs/>
          <w:sz w:val="24"/>
          <w:szCs w:val="24"/>
        </w:rPr>
        <w:t>ccc1-2 nhx5-2 nhx6-3</w:t>
      </w:r>
      <w:r w:rsidR="000D4FDD" w:rsidRPr="003D0D89">
        <w:rPr>
          <w:rFonts w:ascii="Times New Roman" w:hAnsi="Times New Roman" w:cs="Times New Roman"/>
          <w:sz w:val="24"/>
          <w:szCs w:val="24"/>
        </w:rPr>
        <w:t xml:space="preserve"> mutant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0"/>
        <w:gridCol w:w="1756"/>
        <w:gridCol w:w="1693"/>
        <w:gridCol w:w="1697"/>
        <w:gridCol w:w="2140"/>
      </w:tblGrid>
      <w:tr w:rsidR="00DA14ED" w:rsidRPr="003D0D89" w14:paraId="4859510C" w14:textId="77777777" w:rsidTr="00DA14ED">
        <w:tc>
          <w:tcPr>
            <w:tcW w:w="1760" w:type="dxa"/>
          </w:tcPr>
          <w:p w14:paraId="0F7C9FEF" w14:textId="4B90DF55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Arabidopsis mutant </w:t>
            </w:r>
          </w:p>
        </w:tc>
        <w:tc>
          <w:tcPr>
            <w:tcW w:w="1579" w:type="dxa"/>
          </w:tcPr>
          <w:p w14:paraId="3B1044C1" w14:textId="72E6CE31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Mutant identifier</w:t>
            </w:r>
          </w:p>
        </w:tc>
        <w:tc>
          <w:tcPr>
            <w:tcW w:w="1715" w:type="dxa"/>
          </w:tcPr>
          <w:p w14:paraId="3A21B12A" w14:textId="53E9CE3F" w:rsidR="00DA14ED" w:rsidRPr="003D0D89" w:rsidRDefault="004353E7" w:rsidP="003D0D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Zygosity</w:t>
            </w:r>
          </w:p>
        </w:tc>
        <w:tc>
          <w:tcPr>
            <w:tcW w:w="1741" w:type="dxa"/>
          </w:tcPr>
          <w:p w14:paraId="6C5D919F" w14:textId="6199908C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 ID</w:t>
            </w:r>
          </w:p>
        </w:tc>
        <w:tc>
          <w:tcPr>
            <w:tcW w:w="2221" w:type="dxa"/>
          </w:tcPr>
          <w:p w14:paraId="7A2A6B0A" w14:textId="09430D30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Reference</w:t>
            </w:r>
          </w:p>
        </w:tc>
      </w:tr>
      <w:tr w:rsidR="00DA14ED" w:rsidRPr="003D0D89" w14:paraId="3BE459B8" w14:textId="77777777" w:rsidTr="00DA14ED">
        <w:tc>
          <w:tcPr>
            <w:tcW w:w="1760" w:type="dxa"/>
          </w:tcPr>
          <w:p w14:paraId="25872149" w14:textId="4FAF0B18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ccc1-2</w:t>
            </w:r>
          </w:p>
        </w:tc>
        <w:tc>
          <w:tcPr>
            <w:tcW w:w="1579" w:type="dxa"/>
          </w:tcPr>
          <w:p w14:paraId="4C14C4E3" w14:textId="7F0BB8E5" w:rsidR="00DA14ED" w:rsidRPr="003D0D89" w:rsidRDefault="00B96FC2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SALK</w:t>
            </w:r>
            <w:r w:rsidR="00C80699" w:rsidRPr="003D0D8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145300</w:t>
            </w:r>
          </w:p>
        </w:tc>
        <w:tc>
          <w:tcPr>
            <w:tcW w:w="1715" w:type="dxa"/>
          </w:tcPr>
          <w:p w14:paraId="03E0B47C" w14:textId="1AFE4D4E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Homozygous</w:t>
            </w:r>
          </w:p>
        </w:tc>
        <w:tc>
          <w:tcPr>
            <w:tcW w:w="1741" w:type="dxa"/>
          </w:tcPr>
          <w:p w14:paraId="030E3C02" w14:textId="05D0D166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At1g30450</w:t>
            </w:r>
          </w:p>
        </w:tc>
        <w:tc>
          <w:tcPr>
            <w:tcW w:w="2221" w:type="dxa"/>
          </w:tcPr>
          <w:p w14:paraId="53D20A5C" w14:textId="1A607FA9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Colmenero-Flores et al. 2007</w:t>
            </w:r>
          </w:p>
        </w:tc>
      </w:tr>
      <w:tr w:rsidR="00DA14ED" w:rsidRPr="003D0D89" w14:paraId="131F99BA" w14:textId="77777777" w:rsidTr="00DA14ED">
        <w:tc>
          <w:tcPr>
            <w:tcW w:w="1760" w:type="dxa"/>
          </w:tcPr>
          <w:p w14:paraId="69ABA51D" w14:textId="1FCFFD0C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det3</w:t>
            </w:r>
          </w:p>
        </w:tc>
        <w:tc>
          <w:tcPr>
            <w:tcW w:w="1579" w:type="dxa"/>
          </w:tcPr>
          <w:p w14:paraId="78EA3A73" w14:textId="3A99F7E5" w:rsidR="00DA14ED" w:rsidRPr="003D0D89" w:rsidRDefault="00805CD6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T → A mutation</w:t>
            </w:r>
          </w:p>
        </w:tc>
        <w:tc>
          <w:tcPr>
            <w:tcW w:w="1715" w:type="dxa"/>
          </w:tcPr>
          <w:p w14:paraId="45AEA827" w14:textId="19FD7BB8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Homozygous</w:t>
            </w:r>
          </w:p>
        </w:tc>
        <w:tc>
          <w:tcPr>
            <w:tcW w:w="1741" w:type="dxa"/>
          </w:tcPr>
          <w:p w14:paraId="2C9B465A" w14:textId="7E28C388" w:rsidR="00DA14ED" w:rsidRPr="003D0D89" w:rsidRDefault="00E54D10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C1762D" w:rsidRPr="003D0D89">
              <w:rPr>
                <w:rFonts w:ascii="Times New Roman" w:hAnsi="Times New Roman" w:cs="Times New Roman"/>
                <w:sz w:val="24"/>
                <w:szCs w:val="24"/>
              </w:rPr>
              <w:t>1g12840</w:t>
            </w:r>
          </w:p>
        </w:tc>
        <w:tc>
          <w:tcPr>
            <w:tcW w:w="2221" w:type="dxa"/>
          </w:tcPr>
          <w:p w14:paraId="4CD143B7" w14:textId="3928E23C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Schumacher et al. 19</w:t>
            </w:r>
            <w:r w:rsidR="006453A0" w:rsidRPr="003D0D8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DA14ED" w:rsidRPr="003D0D89" w14:paraId="6523F6E5" w14:textId="77777777" w:rsidTr="00DA14ED">
        <w:tc>
          <w:tcPr>
            <w:tcW w:w="1760" w:type="dxa"/>
          </w:tcPr>
          <w:p w14:paraId="3A875AEF" w14:textId="0EEDACF6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nhx5-2 nhx6-3</w:t>
            </w:r>
          </w:p>
        </w:tc>
        <w:tc>
          <w:tcPr>
            <w:tcW w:w="1579" w:type="dxa"/>
          </w:tcPr>
          <w:p w14:paraId="75B84668" w14:textId="1452EF4A" w:rsidR="00DA14ED" w:rsidRPr="003D0D89" w:rsidRDefault="00CD196B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GABI_094H09</w:t>
            </w:r>
            <w:r w:rsidR="00DA14ED" w:rsidRPr="003D0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0699"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SALK_145125</w:t>
            </w:r>
          </w:p>
        </w:tc>
        <w:tc>
          <w:tcPr>
            <w:tcW w:w="1715" w:type="dxa"/>
          </w:tcPr>
          <w:p w14:paraId="4DCA3351" w14:textId="34E09746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Homozygous</w:t>
            </w:r>
          </w:p>
        </w:tc>
        <w:tc>
          <w:tcPr>
            <w:tcW w:w="1741" w:type="dxa"/>
          </w:tcPr>
          <w:p w14:paraId="3741B906" w14:textId="62238A79" w:rsidR="00DA14ED" w:rsidRPr="003D0D89" w:rsidRDefault="0083608F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At1g54370 </w:t>
            </w:r>
            <w:r w:rsidR="00274623" w:rsidRPr="003D0D89">
              <w:rPr>
                <w:rFonts w:ascii="Times New Roman" w:hAnsi="Times New Roman" w:cs="Times New Roman"/>
                <w:sz w:val="24"/>
                <w:szCs w:val="24"/>
              </w:rPr>
              <w:t>&amp; At</w:t>
            </w:r>
            <w:r w:rsidR="00712090" w:rsidRPr="003D0D89">
              <w:rPr>
                <w:rFonts w:ascii="Times New Roman" w:hAnsi="Times New Roman" w:cs="Times New Roman"/>
                <w:sz w:val="24"/>
                <w:szCs w:val="24"/>
              </w:rPr>
              <w:t>1g79610</w:t>
            </w:r>
          </w:p>
        </w:tc>
        <w:tc>
          <w:tcPr>
            <w:tcW w:w="2221" w:type="dxa"/>
          </w:tcPr>
          <w:p w14:paraId="3971FDD7" w14:textId="07392B60" w:rsidR="00DA14ED" w:rsidRPr="003D0D89" w:rsidRDefault="00DA14ED" w:rsidP="003D0D8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D89">
              <w:rPr>
                <w:rFonts w:ascii="Times New Roman" w:hAnsi="Times New Roman" w:cs="Times New Roman"/>
                <w:sz w:val="24"/>
                <w:szCs w:val="24"/>
              </w:rPr>
              <w:t>Ashnest</w:t>
            </w:r>
            <w:proofErr w:type="spellEnd"/>
            <w:r w:rsidRPr="003D0D89">
              <w:rPr>
                <w:rFonts w:ascii="Times New Roman" w:hAnsi="Times New Roman" w:cs="Times New Roman"/>
                <w:sz w:val="24"/>
                <w:szCs w:val="24"/>
              </w:rPr>
              <w:t xml:space="preserve"> 2015 et al. 2015</w:t>
            </w:r>
          </w:p>
        </w:tc>
      </w:tr>
    </w:tbl>
    <w:p w14:paraId="21C93371" w14:textId="31F87BBF" w:rsidR="007C1935" w:rsidRPr="003D0D89" w:rsidRDefault="007C1935" w:rsidP="003D0D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8B951" w14:textId="68A23ADA" w:rsidR="00DF6A2A" w:rsidRPr="003D0D89" w:rsidRDefault="00C074B4" w:rsidP="003D0D89">
      <w:p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</w:t>
      </w:r>
      <w:r w:rsidRPr="003D0D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det3 x ccc1-2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AF68AB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homozygous single mutants were crossed with each other, </w:t>
      </w:r>
      <w:r w:rsidR="00D61557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 homozygous double mutants </w:t>
      </w:r>
      <w:r w:rsidR="00A51FF5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were detected; however, 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were able to isolate F2 plants that were homozygous for one gene and heterozygous for the other. </w:t>
      </w:r>
      <w:r w:rsidR="00762B0D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confirmed that both mutant alleles had been successfully passed to the next generations following the crossing. </w:t>
      </w:r>
      <w:r w:rsidR="00A51FF5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We </w:t>
      </w:r>
      <w:r w:rsidR="00054466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then </w:t>
      </w:r>
      <w:r w:rsidR="00A51FF5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genotyped the progeny of </w:t>
      </w:r>
      <w:r w:rsidR="00054466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F3</w:t>
      </w:r>
      <w:r w:rsidR="00A51FF5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plants. 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was done because we assumed that any double mutants might be </w:t>
      </w:r>
      <w:r w:rsidR="00B57CAB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severely affected and we therefore e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xpected a low frequency of these plants. Yet again, we were not able to recover a double knockout from these plants. </w:t>
      </w:r>
      <w:r w:rsidR="002C7B2E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Genotypes of</w:t>
      </w:r>
      <w:r w:rsidR="00922803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922803" w:rsidRPr="003D0D8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F3 progeny </w:t>
      </w:r>
      <w:r w:rsidR="00DF6A2A" w:rsidRPr="003D0D8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of </w:t>
      </w:r>
      <w:r w:rsidR="00DF6A2A"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det3 ccc1</w:t>
      </w:r>
      <w:r w:rsidR="003C6378"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-2</w:t>
      </w:r>
      <w:r w:rsidR="00DF6A2A"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 +/-</w:t>
      </w:r>
      <w:r w:rsidR="00DF6A2A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3C6378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plants </w:t>
      </w:r>
      <w:r w:rsidR="00922803" w:rsidRPr="003D0D8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was as followed: </w:t>
      </w:r>
      <w:r w:rsidR="003C6378" w:rsidRPr="003D0D8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55% </w:t>
      </w:r>
      <w:r w:rsidR="003C6378" w:rsidRPr="003D0D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det3 ccc1-2</w:t>
      </w:r>
      <w:r w:rsidR="00A64712" w:rsidRPr="003D0D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 xml:space="preserve"> </w:t>
      </w:r>
      <w:r w:rsidR="004353E7" w:rsidRPr="003D0D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+/-</w:t>
      </w:r>
      <w:r w:rsidR="004353E7" w:rsidRPr="003D0D8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, and 45% </w:t>
      </w:r>
      <w:r w:rsidR="004353E7" w:rsidRPr="003D0D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det3 ccc1-2 +/+</w:t>
      </w:r>
      <w:r w:rsidR="004353E7" w:rsidRPr="003D0D8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, 0% </w:t>
      </w:r>
      <w:r w:rsidR="004353E7" w:rsidRPr="003D0D89">
        <w:rPr>
          <w:rFonts w:ascii="Times New Roman" w:eastAsia="Times New Roman" w:hAnsi="Times New Roman" w:cs="Times New Roman"/>
          <w:i/>
          <w:sz w:val="24"/>
          <w:szCs w:val="24"/>
          <w:lang w:eastAsia="en-GB"/>
        </w:rPr>
        <w:t>det3 ccc1-2</w:t>
      </w:r>
      <w:r w:rsidR="004353E7" w:rsidRPr="003D0D89"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.</w:t>
      </w:r>
    </w:p>
    <w:p w14:paraId="50C80CD5" w14:textId="6649291E" w:rsidR="00484895" w:rsidRPr="003D0D89" w:rsidRDefault="00C074B4" w:rsidP="003D0D89">
      <w:pPr>
        <w:shd w:val="clear" w:color="auto" w:fill="FFFFFF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</w:t>
      </w:r>
      <w:r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nhx5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nhx6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we </w:t>
      </w:r>
      <w:r w:rsidR="00412801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used </w:t>
      </w:r>
      <w:r w:rsidR="00412801"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a nhx5-2 </w:t>
      </w:r>
      <w:r w:rsidR="00054466"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x </w:t>
      </w:r>
      <w:r w:rsidR="00412801"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nhx6-3</w:t>
      </w:r>
      <w:r w:rsidR="00412801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homozygous double mutant (</w:t>
      </w:r>
      <w:proofErr w:type="spellStart"/>
      <w:r w:rsidR="00412801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Ashnest</w:t>
      </w:r>
      <w:proofErr w:type="spellEnd"/>
      <w:r w:rsidR="00412801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et al. 2015) and crossed it with a homozygous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054466"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ccc1-2</w:t>
      </w:r>
      <w:r w:rsidR="00C01824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plant.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These </w:t>
      </w:r>
      <w:r w:rsidR="00B60D31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two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genes are on </w:t>
      </w:r>
      <w:r w:rsidR="00C01824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same chromosome arm on 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chromosome 1 (AT1G54370 and AT1G79610) and rarely segregate during crosses. In addition, </w:t>
      </w:r>
      <w:r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CCC1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(AT1G30450) is also on the same chromosome </w:t>
      </w:r>
      <w:r w:rsidR="004353E7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arm </w:t>
      </w:r>
      <w:r w:rsidR="00C01824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very close to the centromere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Segregation of the </w:t>
      </w:r>
      <w:r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ccc1-2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allele and the </w:t>
      </w:r>
      <w:r w:rsidRPr="003D0D89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nhx5 nhx6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64341F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did almost not occur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We genotyped </w:t>
      </w:r>
      <w:r w:rsidR="00EA0013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&gt;100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F2 plants and were only able to obtain one triple mutant. This plant did not produce any seed</w:t>
      </w:r>
      <w:r w:rsidR="007B5AAB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(Fig</w:t>
      </w:r>
      <w:r w:rsidR="0063419D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7B5AAB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S</w:t>
      </w:r>
      <w:r w:rsidR="00EA0013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>7)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The </w:t>
      </w:r>
      <w:r w:rsidR="000A78A9"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strong </w:t>
      </w:r>
      <w:r w:rsidRPr="003D0D8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genetic linkage of the genes also prevented us from working with seeds from heterozygous plants, as the frequency of triple mutant progeny is too low. </w:t>
      </w:r>
    </w:p>
    <w:p w14:paraId="325329B5" w14:textId="77777777" w:rsidR="00484895" w:rsidRPr="003D0D89" w:rsidRDefault="00484895" w:rsidP="003D0D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84895" w:rsidRPr="003D0D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273"/>
    <w:multiLevelType w:val="hybridMultilevel"/>
    <w:tmpl w:val="13AE3B4A"/>
    <w:lvl w:ilvl="0" w:tplc="B282D7A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4661"/>
    <w:multiLevelType w:val="hybridMultilevel"/>
    <w:tmpl w:val="0B16B8B0"/>
    <w:lvl w:ilvl="0" w:tplc="128CD050">
      <w:start w:val="3"/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C4"/>
    <w:rsid w:val="00035A41"/>
    <w:rsid w:val="00054466"/>
    <w:rsid w:val="00055115"/>
    <w:rsid w:val="00094A1F"/>
    <w:rsid w:val="000A78A9"/>
    <w:rsid w:val="000B35AE"/>
    <w:rsid w:val="000D4FDD"/>
    <w:rsid w:val="00106E84"/>
    <w:rsid w:val="00155AFC"/>
    <w:rsid w:val="0018666E"/>
    <w:rsid w:val="001B1D04"/>
    <w:rsid w:val="002009AC"/>
    <w:rsid w:val="002450B0"/>
    <w:rsid w:val="00274623"/>
    <w:rsid w:val="00281921"/>
    <w:rsid w:val="002C7B2E"/>
    <w:rsid w:val="002F2373"/>
    <w:rsid w:val="00337BF1"/>
    <w:rsid w:val="00382BB3"/>
    <w:rsid w:val="003C6378"/>
    <w:rsid w:val="003D0D89"/>
    <w:rsid w:val="00412801"/>
    <w:rsid w:val="004353E7"/>
    <w:rsid w:val="00484895"/>
    <w:rsid w:val="004C5D4F"/>
    <w:rsid w:val="005265C4"/>
    <w:rsid w:val="00564DAF"/>
    <w:rsid w:val="00595236"/>
    <w:rsid w:val="005D2407"/>
    <w:rsid w:val="006319EF"/>
    <w:rsid w:val="0063419D"/>
    <w:rsid w:val="00642765"/>
    <w:rsid w:val="0064341F"/>
    <w:rsid w:val="006453A0"/>
    <w:rsid w:val="00657414"/>
    <w:rsid w:val="00690E34"/>
    <w:rsid w:val="006A4891"/>
    <w:rsid w:val="006E0273"/>
    <w:rsid w:val="00712090"/>
    <w:rsid w:val="00745625"/>
    <w:rsid w:val="00762B0D"/>
    <w:rsid w:val="007B5AAB"/>
    <w:rsid w:val="007C0941"/>
    <w:rsid w:val="007C1935"/>
    <w:rsid w:val="007F0753"/>
    <w:rsid w:val="00805CD6"/>
    <w:rsid w:val="0083608F"/>
    <w:rsid w:val="0085282B"/>
    <w:rsid w:val="00887E67"/>
    <w:rsid w:val="00894AC7"/>
    <w:rsid w:val="008E2B00"/>
    <w:rsid w:val="00922803"/>
    <w:rsid w:val="009778C4"/>
    <w:rsid w:val="00985A4F"/>
    <w:rsid w:val="00992228"/>
    <w:rsid w:val="00A00F44"/>
    <w:rsid w:val="00A267A3"/>
    <w:rsid w:val="00A51642"/>
    <w:rsid w:val="00A51FF5"/>
    <w:rsid w:val="00A64712"/>
    <w:rsid w:val="00A85CB2"/>
    <w:rsid w:val="00AF68AB"/>
    <w:rsid w:val="00B5613C"/>
    <w:rsid w:val="00B57CAB"/>
    <w:rsid w:val="00B60D31"/>
    <w:rsid w:val="00B96FC2"/>
    <w:rsid w:val="00BF437A"/>
    <w:rsid w:val="00C01824"/>
    <w:rsid w:val="00C074B4"/>
    <w:rsid w:val="00C1762D"/>
    <w:rsid w:val="00C80699"/>
    <w:rsid w:val="00CD196B"/>
    <w:rsid w:val="00D03D9E"/>
    <w:rsid w:val="00D61557"/>
    <w:rsid w:val="00DA14ED"/>
    <w:rsid w:val="00DD1588"/>
    <w:rsid w:val="00DF1B00"/>
    <w:rsid w:val="00DF5583"/>
    <w:rsid w:val="00DF6A2A"/>
    <w:rsid w:val="00E11C1D"/>
    <w:rsid w:val="00E402A9"/>
    <w:rsid w:val="00E54D10"/>
    <w:rsid w:val="00E807F6"/>
    <w:rsid w:val="00EA0013"/>
    <w:rsid w:val="00EB67F3"/>
    <w:rsid w:val="00F2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1CCD"/>
  <w15:chartTrackingRefBased/>
  <w15:docId w15:val="{B7586259-756F-4487-B35D-FC100AC3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78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15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5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15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5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04331B18C24CBD1693F8F74252C5" ma:contentTypeVersion="4" ma:contentTypeDescription="Create a new document." ma:contentTypeScope="" ma:versionID="58620677cb7cd3e4ba1fc9aedda633c3">
  <xsd:schema xmlns:xsd="http://www.w3.org/2001/XMLSchema" xmlns:xs="http://www.w3.org/2001/XMLSchema" xmlns:p="http://schemas.microsoft.com/office/2006/metadata/properties" xmlns:ns3="4312efc3-c648-43ce-977a-de644b210e41" targetNamespace="http://schemas.microsoft.com/office/2006/metadata/properties" ma:root="true" ma:fieldsID="574f9fc8e22416f61a5a5bb99ddcd763" ns3:_="">
    <xsd:import namespace="4312efc3-c648-43ce-977a-de644b210e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efc3-c648-43ce-977a-de644b210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E0C4-8615-4D02-88E7-F4E258908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F50E6-4858-438A-BF55-387AE9ACF3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312efc3-c648-43ce-977a-de644b210e4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4AFF7AD-80E3-429B-AA2D-B6214261B7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2efc3-c648-43ce-977a-de644b210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1E0A58-329A-4DAA-8909-35F61165D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Wege</dc:creator>
  <cp:keywords/>
  <dc:description/>
  <cp:lastModifiedBy>Stefanie Wege</cp:lastModifiedBy>
  <cp:revision>4</cp:revision>
  <dcterms:created xsi:type="dcterms:W3CDTF">2021-12-13T00:50:00Z</dcterms:created>
  <dcterms:modified xsi:type="dcterms:W3CDTF">2021-12-13T02:52:00Z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0x010100961604331B18C24CBD1693F8F74252C5</vt:lpwstr>
  </property>
</Properties>
</file>