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Supplementary file 1. Univariate and multivariate analyses indicating associations between overall survival and various risk factors in 105 HCC patients</w:t>
      </w:r>
      <w:bookmarkStart w:id="0" w:name="_GoBack"/>
      <w:bookmarkEnd w:id="0"/>
    </w:p>
    <w:tbl>
      <w:tblPr>
        <w:tblStyle w:val="3"/>
        <w:tblW w:w="918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88"/>
        <w:gridCol w:w="1644"/>
        <w:gridCol w:w="2626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3780" w:type="dxa"/>
            <w:tcBorders>
              <w:top w:val="single" w:color="auto" w:sz="12" w:space="0"/>
            </w:tcBorders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Variables</w:t>
            </w:r>
          </w:p>
        </w:tc>
        <w:tc>
          <w:tcPr>
            <w:tcW w:w="1640" w:type="dxa"/>
            <w:tcBorders>
              <w:top w:val="single" w:color="auto" w:sz="12" w:space="0"/>
            </w:tcBorders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gridSpan w:val="2"/>
            <w:tcBorders>
              <w:top w:val="single" w:color="auto" w:sz="12" w:space="0"/>
            </w:tcBorders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3780" w:type="dxa"/>
            <w:tcBorders>
              <w:bottom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bottom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N</w:t>
            </w:r>
          </w:p>
        </w:tc>
        <w:tc>
          <w:tcPr>
            <w:tcW w:w="2620" w:type="dxa"/>
            <w:tcBorders>
              <w:bottom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Hazard ratio (95% Cl)*</w:t>
            </w:r>
          </w:p>
        </w:tc>
        <w:tc>
          <w:tcPr>
            <w:tcW w:w="1100" w:type="dxa"/>
            <w:tcBorders>
              <w:bottom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P 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378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Univariables </w:t>
            </w:r>
          </w:p>
        </w:tc>
        <w:tc>
          <w:tcPr>
            <w:tcW w:w="164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378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FBXO45(high vs. low)</w:t>
            </w:r>
          </w:p>
        </w:tc>
        <w:tc>
          <w:tcPr>
            <w:tcW w:w="164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(57 vs. 48)</w:t>
            </w:r>
          </w:p>
        </w:tc>
        <w:tc>
          <w:tcPr>
            <w:tcW w:w="262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2.641(1.644-4.242)</w:t>
            </w:r>
          </w:p>
        </w:tc>
        <w:tc>
          <w:tcPr>
            <w:tcW w:w="110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&lt;0.001***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tblCellSpacing w:w="0" w:type="dxa"/>
        </w:trPr>
        <w:tc>
          <w:tcPr>
            <w:tcW w:w="378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Age(&gt;55y vs. ≤55y)</w:t>
            </w:r>
          </w:p>
        </w:tc>
        <w:tc>
          <w:tcPr>
            <w:tcW w:w="164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(29 vs. 76)</w:t>
            </w:r>
          </w:p>
        </w:tc>
        <w:tc>
          <w:tcPr>
            <w:tcW w:w="262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0.782(0.465-1.314)</w:t>
            </w:r>
          </w:p>
        </w:tc>
        <w:tc>
          <w:tcPr>
            <w:tcW w:w="110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tblCellSpacing w:w="0" w:type="dxa"/>
        </w:trPr>
        <w:tc>
          <w:tcPr>
            <w:tcW w:w="378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Gender(male vs. female)</w:t>
            </w:r>
          </w:p>
        </w:tc>
        <w:tc>
          <w:tcPr>
            <w:tcW w:w="164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(89 vs. 16)</w:t>
            </w:r>
          </w:p>
        </w:tc>
        <w:tc>
          <w:tcPr>
            <w:tcW w:w="262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1.207(0.637-2.286)</w:t>
            </w:r>
          </w:p>
        </w:tc>
        <w:tc>
          <w:tcPr>
            <w:tcW w:w="110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378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Histologic grade(G1G2 vs. G3)</w:t>
            </w:r>
          </w:p>
        </w:tc>
        <w:tc>
          <w:tcPr>
            <w:tcW w:w="164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(87 vs. 18)</w:t>
            </w:r>
          </w:p>
        </w:tc>
        <w:tc>
          <w:tcPr>
            <w:tcW w:w="262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2.247(1.303-3.875)</w:t>
            </w:r>
          </w:p>
        </w:tc>
        <w:tc>
          <w:tcPr>
            <w:tcW w:w="110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0.004**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tblCellSpacing w:w="0" w:type="dxa"/>
        </w:trPr>
        <w:tc>
          <w:tcPr>
            <w:tcW w:w="378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TNM Stage(I VS. II III IV)</w:t>
            </w:r>
          </w:p>
        </w:tc>
        <w:tc>
          <w:tcPr>
            <w:tcW w:w="164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(35 vs. 70)</w:t>
            </w:r>
          </w:p>
        </w:tc>
        <w:tc>
          <w:tcPr>
            <w:tcW w:w="262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2.029(1.214-3.392)</w:t>
            </w:r>
          </w:p>
        </w:tc>
        <w:tc>
          <w:tcPr>
            <w:tcW w:w="110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0.007**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</w:trPr>
        <w:tc>
          <w:tcPr>
            <w:tcW w:w="378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Tumor size (&gt;5cm vs. &lt;=5cm)</w:t>
            </w:r>
          </w:p>
        </w:tc>
        <w:tc>
          <w:tcPr>
            <w:tcW w:w="164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(82 vs. 23)</w:t>
            </w:r>
          </w:p>
        </w:tc>
        <w:tc>
          <w:tcPr>
            <w:tcW w:w="262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1.603(0.897-2.864)</w:t>
            </w:r>
          </w:p>
        </w:tc>
        <w:tc>
          <w:tcPr>
            <w:tcW w:w="110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378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Recurrence(Present vs. Absent)</w:t>
            </w:r>
          </w:p>
        </w:tc>
        <w:tc>
          <w:tcPr>
            <w:tcW w:w="164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(24 vs. 81)</w:t>
            </w:r>
          </w:p>
        </w:tc>
        <w:tc>
          <w:tcPr>
            <w:tcW w:w="262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1.795(0.938-3.435)</w:t>
            </w:r>
          </w:p>
        </w:tc>
        <w:tc>
          <w:tcPr>
            <w:tcW w:w="110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378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Metastasis(Present vs. Absent)</w:t>
            </w:r>
          </w:p>
        </w:tc>
        <w:tc>
          <w:tcPr>
            <w:tcW w:w="164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(53 vs. 52)</w:t>
            </w:r>
          </w:p>
        </w:tc>
        <w:tc>
          <w:tcPr>
            <w:tcW w:w="262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2.523(1.577-4.035)</w:t>
            </w:r>
          </w:p>
        </w:tc>
        <w:tc>
          <w:tcPr>
            <w:tcW w:w="110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&lt;0.001***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378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Multivariables </w:t>
            </w:r>
          </w:p>
        </w:tc>
        <w:tc>
          <w:tcPr>
            <w:tcW w:w="164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378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FBXO45(high vs. low)</w:t>
            </w:r>
          </w:p>
        </w:tc>
        <w:tc>
          <w:tcPr>
            <w:tcW w:w="164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(57 vs. 48)</w:t>
            </w:r>
          </w:p>
        </w:tc>
        <w:tc>
          <w:tcPr>
            <w:tcW w:w="262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2.447(1.490-4.021)</w:t>
            </w:r>
          </w:p>
        </w:tc>
        <w:tc>
          <w:tcPr>
            <w:tcW w:w="110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&lt;0.001***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</w:trPr>
        <w:tc>
          <w:tcPr>
            <w:tcW w:w="378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Histologic grade (G1G2 vs. G3)</w:t>
            </w:r>
          </w:p>
        </w:tc>
        <w:tc>
          <w:tcPr>
            <w:tcW w:w="164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(87 vs. 18)</w:t>
            </w:r>
          </w:p>
        </w:tc>
        <w:tc>
          <w:tcPr>
            <w:tcW w:w="262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1.960(1.108-3.467)</w:t>
            </w:r>
          </w:p>
        </w:tc>
        <w:tc>
          <w:tcPr>
            <w:tcW w:w="110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0.021*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tblCellSpacing w:w="0" w:type="dxa"/>
        </w:trPr>
        <w:tc>
          <w:tcPr>
            <w:tcW w:w="378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TNM Stage(I VS. II III IV)</w:t>
            </w:r>
          </w:p>
        </w:tc>
        <w:tc>
          <w:tcPr>
            <w:tcW w:w="164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(35 vs. 70)</w:t>
            </w:r>
          </w:p>
        </w:tc>
        <w:tc>
          <w:tcPr>
            <w:tcW w:w="262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0.630(0.281-1.412)</w:t>
            </w:r>
          </w:p>
        </w:tc>
        <w:tc>
          <w:tcPr>
            <w:tcW w:w="1100" w:type="dxa"/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0.262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</w:trPr>
        <w:tc>
          <w:tcPr>
            <w:tcW w:w="3780" w:type="dxa"/>
            <w:tcBorders>
              <w:bottom w:val="single" w:color="auto" w:sz="12" w:space="0"/>
            </w:tcBorders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Metastasis(Present vs. Absent)</w:t>
            </w:r>
          </w:p>
        </w:tc>
        <w:tc>
          <w:tcPr>
            <w:tcW w:w="1640" w:type="dxa"/>
            <w:tcBorders>
              <w:bottom w:val="single" w:color="auto" w:sz="12" w:space="0"/>
            </w:tcBorders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(53 vs. 52)</w:t>
            </w:r>
          </w:p>
        </w:tc>
        <w:tc>
          <w:tcPr>
            <w:tcW w:w="2620" w:type="dxa"/>
            <w:tcBorders>
              <w:bottom w:val="single" w:color="auto" w:sz="12" w:space="0"/>
            </w:tcBorders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3.005(1.485-6.079)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shd w:val="clear" w:color="auto" w:fill="auto"/>
            <w:tcMar>
              <w:top w:w="12" w:type="dxa"/>
              <w:left w:w="12" w:type="dxa"/>
              <w:bottom w:w="43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0.002**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b w:val="0"/>
          <w:bCs w:val="0"/>
          <w:i/>
          <w:iCs/>
        </w:rPr>
      </w:pPr>
      <w:r>
        <w:rPr>
          <w:rFonts w:hint="default" w:ascii="Times New Roman" w:hAnsi="Times New Roman" w:cs="Times New Roman"/>
          <w:b w:val="0"/>
          <w:bCs w:val="0"/>
          <w:i/>
          <w:iCs/>
        </w:rPr>
        <w:t xml:space="preserve">Calculated using cox proportional hazards regression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b w:val="0"/>
          <w:bCs w:val="0"/>
          <w:i/>
          <w:iCs/>
        </w:rPr>
      </w:pPr>
      <w:r>
        <w:rPr>
          <w:rFonts w:hint="default" w:ascii="Times New Roman" w:hAnsi="Times New Roman" w:cs="Times New Roman"/>
          <w:b w:val="0"/>
          <w:bCs w:val="0"/>
          <w:i/>
          <w:iCs/>
        </w:rPr>
        <w:t xml:space="preserve">*P ≤ 0.05; **P ≤ 0.01; ***P ≤ 0.001 were considered statistically significant. </w:t>
      </w:r>
    </w:p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A3673"/>
    <w:rsid w:val="2B9D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林晓彤</cp:lastModifiedBy>
  <dcterms:modified xsi:type="dcterms:W3CDTF">2021-10-28T03:46:54Z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0EB952A0DA6B49AEB08E200A43485CB6</vt:lpwstr>
  </property>
</Properties>
</file>