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Supplementary file 2</w:t>
      </w:r>
      <w:r>
        <w:rPr>
          <w:rFonts w:ascii="Times New Roman" w:hAnsi="Times New Roman"/>
          <w:b/>
          <w:bCs/>
          <w:sz w:val="24"/>
          <w:szCs w:val="24"/>
        </w:rPr>
        <w:t xml:space="preserve">. Relationships between </w:t>
      </w:r>
      <w:r>
        <w:rPr>
          <w:rFonts w:hint="eastAsia" w:ascii="Times New Roman" w:hAnsi="Times New Roman"/>
          <w:b/>
          <w:bCs/>
          <w:i/>
          <w:iCs/>
          <w:sz w:val="24"/>
          <w:szCs w:val="24"/>
        </w:rPr>
        <w:t>FBXO45</w:t>
      </w:r>
      <w:r>
        <w:rPr>
          <w:rFonts w:ascii="Times New Roman" w:hAnsi="Times New Roman"/>
          <w:b/>
          <w:bCs/>
          <w:sz w:val="24"/>
          <w:szCs w:val="24"/>
        </w:rPr>
        <w:t xml:space="preserve"> mRNA expression and clinicopathologic characteristics in 253 HCC patients</w:t>
      </w:r>
    </w:p>
    <w:tbl>
      <w:tblPr>
        <w:tblStyle w:val="3"/>
        <w:tblW w:w="82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1088"/>
        <w:gridCol w:w="2015"/>
        <w:gridCol w:w="1652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96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20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FBXO45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High level</w:t>
            </w:r>
          </w:p>
        </w:tc>
        <w:tc>
          <w:tcPr>
            <w:tcW w:w="164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FBXO45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Low  level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 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Age(years)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≤55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&gt;55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Hepatitis B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AFP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≤200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&gt;200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Histologic Grade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G1G2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G3G4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Tumor stage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T2 T3 T4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TNM Stage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0.007**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96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0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Calculated using the χ 2 test.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*P ≤ 0.05 ; **P ≤ 0.01; ***P ≤ 0.001 were considered statistically significant.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12410"/>
    <w:rsid w:val="226B33F1"/>
    <w:rsid w:val="3A2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林晓彤</cp:lastModifiedBy>
  <dcterms:modified xsi:type="dcterms:W3CDTF">2021-10-31T13:47:43Z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911DEDA82AF6408486C033C7A7D783D0</vt:lpwstr>
  </property>
</Properties>
</file>