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hint="eastAsia" w:ascii="Times New Roman" w:hAnsi="Times New Roman"/>
          <w:b/>
          <w:bCs/>
          <w:sz w:val="24"/>
          <w:szCs w:val="24"/>
        </w:rPr>
        <w:t>Supplementary file 5</w:t>
      </w:r>
      <w:r>
        <w:rPr>
          <w:rFonts w:ascii="Times New Roman" w:hAnsi="Times New Roman"/>
          <w:b/>
          <w:bCs/>
          <w:sz w:val="24"/>
          <w:szCs w:val="24"/>
        </w:rPr>
        <w:t>. Relationships between the IGF2BP1 protein and clinicopathological characteristics in 10</w:t>
      </w:r>
      <w:r>
        <w:rPr>
          <w:rFonts w:hint="eastAsia"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HCC patients</w:t>
      </w:r>
    </w:p>
    <w:tbl>
      <w:tblPr>
        <w:tblStyle w:val="3"/>
        <w:tblW w:w="86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1062"/>
        <w:gridCol w:w="2085"/>
        <w:gridCol w:w="1684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2240" w:type="dxa"/>
            <w:vMerge w:val="restart"/>
            <w:tcBorders>
              <w:top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060" w:type="dxa"/>
            <w:vMerge w:val="restart"/>
            <w:tcBorders>
              <w:top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2080" w:type="dxa"/>
            <w:tcBorders>
              <w:top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IGF2BP1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IGF2BP1</w:t>
            </w:r>
          </w:p>
        </w:tc>
        <w:tc>
          <w:tcPr>
            <w:tcW w:w="1520" w:type="dxa"/>
            <w:vMerge w:val="restart"/>
            <w:tcBorders>
              <w:top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p 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High level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Low level</w:t>
            </w:r>
          </w:p>
        </w:tc>
        <w:tc>
          <w:tcPr>
            <w:tcW w:w="152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tcBorders>
              <w:top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Age(years)</w:t>
            </w:r>
          </w:p>
        </w:tc>
        <w:tc>
          <w:tcPr>
            <w:tcW w:w="1060" w:type="dxa"/>
            <w:tcBorders>
              <w:top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tcBorders>
              <w:top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tcBorders>
              <w:top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tcBorders>
              <w:top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0.280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≤55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&gt;55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0.442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TNM Stage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</w:rPr>
              <w:t>0.019*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Histologic Grade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</w:rPr>
              <w:t>0.006**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G1G2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G3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Tumor size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</w:rPr>
              <w:t>0.030*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≤5cm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&gt;5cm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Rec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rrence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Metastasis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06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240" w:type="dxa"/>
            <w:tcBorders>
              <w:bottom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060" w:type="dxa"/>
            <w:tcBorders>
              <w:bottom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bottom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0" w:type="dxa"/>
            <w:tcBorders>
              <w:bottom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bottom w:val="single" w:color="auto" w:sz="12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Calculated using the χ 2 test.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  <w:r>
        <w:rPr>
          <w:rFonts w:hint="default" w:ascii="Times New Roman" w:hAnsi="Times New Roman" w:cs="Times New Roman"/>
          <w:i/>
          <w:iCs/>
        </w:rPr>
        <w:t>*P ≤ 0.05; **P ≤ 0.01 were considered statistically significant.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B15D7"/>
    <w:rsid w:val="678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林晓彤</cp:lastModifiedBy>
  <dcterms:modified xsi:type="dcterms:W3CDTF">2021-10-31T13:46:24Z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787FAF370C04444783585EDA7EBA3078</vt:lpwstr>
  </property>
</Properties>
</file>