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2076" w14:textId="452FF69E" w:rsidR="006A39EA" w:rsidRDefault="006A39EA" w:rsidP="006A39EA">
      <w:pPr>
        <w:spacing w:after="160"/>
        <w:contextualSpacing/>
        <w:rPr>
          <w:rFonts w:ascii="Arial" w:hAnsi="Arial" w:cs="Arial"/>
          <w:b/>
          <w:sz w:val="20"/>
          <w:szCs w:val="20"/>
          <w:lang w:val="en-US"/>
        </w:rPr>
      </w:pPr>
      <w:r>
        <w:rPr>
          <w:rFonts w:ascii="Arial" w:hAnsi="Arial" w:cs="Arial"/>
          <w:b/>
          <w:sz w:val="20"/>
          <w:szCs w:val="20"/>
          <w:lang w:val="en-US"/>
        </w:rPr>
        <w:t>Supplementary File 2</w:t>
      </w:r>
      <w:r w:rsidRPr="00D31BEA">
        <w:rPr>
          <w:rFonts w:ascii="Arial" w:hAnsi="Arial" w:cs="Arial"/>
          <w:b/>
          <w:sz w:val="20"/>
          <w:szCs w:val="20"/>
          <w:lang w:val="en-US"/>
        </w:rPr>
        <w:t xml:space="preserve">: Plasmids used in this study. </w:t>
      </w:r>
      <w:r w:rsidRPr="00D31BEA">
        <w:rPr>
          <w:rFonts w:ascii="Arial" w:hAnsi="Arial" w:cs="Arial"/>
          <w:color w:val="000000" w:themeColor="text1"/>
          <w:sz w:val="20"/>
          <w:szCs w:val="20"/>
          <w:lang w:val="en-US"/>
        </w:rPr>
        <w:t xml:space="preserve">Abbreviations: Kan = kanamycin, Amp = ampicillin, </w:t>
      </w:r>
      <w:r w:rsidRPr="00D31BEA">
        <w:rPr>
          <w:rFonts w:ascii="Arial" w:hAnsi="Arial" w:cs="Arial"/>
          <w:sz w:val="20"/>
          <w:szCs w:val="20"/>
          <w:lang w:val="en-US"/>
        </w:rPr>
        <w:t xml:space="preserve">Chl </w:t>
      </w:r>
      <w:r w:rsidRPr="00D31BEA">
        <w:rPr>
          <w:rFonts w:ascii="Arial" w:hAnsi="Arial" w:cs="Arial"/>
          <w:color w:val="000000" w:themeColor="text1"/>
          <w:sz w:val="20"/>
          <w:szCs w:val="20"/>
          <w:lang w:val="en-US"/>
        </w:rPr>
        <w:t>= chloramphenicol. Superscript “R” = resistance. “-“ = fusion.</w:t>
      </w:r>
      <w:r w:rsidRPr="00D31BEA">
        <w:rPr>
          <w:rFonts w:ascii="Arial" w:hAnsi="Arial" w:cs="Arial"/>
          <w:b/>
          <w:sz w:val="20"/>
          <w:szCs w:val="20"/>
          <w:lang w:val="en-US"/>
        </w:rPr>
        <w:t xml:space="preserve"> </w:t>
      </w:r>
    </w:p>
    <w:p w14:paraId="5C14E66F" w14:textId="77777777" w:rsidR="007B6731" w:rsidRPr="00D31BEA" w:rsidRDefault="007B6731" w:rsidP="006A39EA">
      <w:pPr>
        <w:spacing w:after="160"/>
        <w:contextualSpacing/>
        <w:rPr>
          <w:rFonts w:ascii="Arial" w:hAnsi="Arial" w:cs="Arial"/>
          <w:b/>
          <w:sz w:val="20"/>
          <w:szCs w:val="20"/>
          <w:lang w:val="en-US"/>
        </w:rPr>
      </w:pPr>
      <w:bookmarkStart w:id="0" w:name="_GoBack"/>
      <w:bookmarkEnd w:id="0"/>
    </w:p>
    <w:tbl>
      <w:tblPr>
        <w:tblStyle w:val="Tabellenraster"/>
        <w:tblW w:w="0" w:type="auto"/>
        <w:tblLook w:val="04A0" w:firstRow="1" w:lastRow="0" w:firstColumn="1" w:lastColumn="0" w:noHBand="0" w:noVBand="1"/>
      </w:tblPr>
      <w:tblGrid>
        <w:gridCol w:w="1528"/>
        <w:gridCol w:w="5271"/>
        <w:gridCol w:w="2217"/>
      </w:tblGrid>
      <w:tr w:rsidR="006A39EA" w:rsidRPr="00D31BEA" w14:paraId="14617F28" w14:textId="77777777" w:rsidTr="00106EE0">
        <w:tc>
          <w:tcPr>
            <w:tcW w:w="1528" w:type="dxa"/>
          </w:tcPr>
          <w:p w14:paraId="789BF54E"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b/>
                <w:color w:val="000000" w:themeColor="text1"/>
                <w:sz w:val="20"/>
                <w:szCs w:val="20"/>
                <w:lang w:val="en-US"/>
              </w:rPr>
              <w:t>Plasmid</w:t>
            </w:r>
          </w:p>
        </w:tc>
        <w:tc>
          <w:tcPr>
            <w:tcW w:w="5271" w:type="dxa"/>
            <w:shd w:val="clear" w:color="auto" w:fill="auto"/>
          </w:tcPr>
          <w:p w14:paraId="121EA924"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b/>
                <w:color w:val="000000" w:themeColor="text1"/>
                <w:sz w:val="20"/>
                <w:szCs w:val="20"/>
                <w:lang w:val="en-US"/>
              </w:rPr>
              <w:t>Genotype/ Relevant features</w:t>
            </w:r>
          </w:p>
        </w:tc>
        <w:tc>
          <w:tcPr>
            <w:tcW w:w="2217" w:type="dxa"/>
          </w:tcPr>
          <w:p w14:paraId="3D4B7F5A"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b/>
                <w:color w:val="000000" w:themeColor="text1"/>
                <w:sz w:val="20"/>
                <w:szCs w:val="20"/>
                <w:lang w:val="en-US"/>
              </w:rPr>
              <w:t>Reference</w:t>
            </w:r>
          </w:p>
        </w:tc>
      </w:tr>
      <w:tr w:rsidR="006A39EA" w:rsidRPr="00D31BEA" w14:paraId="3A8DBF4C" w14:textId="77777777" w:rsidTr="00106EE0">
        <w:tc>
          <w:tcPr>
            <w:tcW w:w="1528" w:type="dxa"/>
          </w:tcPr>
          <w:p w14:paraId="7B57E4BD"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pKD3</w:t>
            </w:r>
          </w:p>
        </w:tc>
        <w:tc>
          <w:tcPr>
            <w:tcW w:w="5271" w:type="dxa"/>
            <w:shd w:val="clear" w:color="auto" w:fill="auto"/>
          </w:tcPr>
          <w:p w14:paraId="75EF243D"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R6K ori, chloramphenicol acetyl transferase cassette</w:t>
            </w:r>
            <w:r w:rsidRPr="00D31BEA">
              <w:rPr>
                <w:rFonts w:ascii="Arial" w:hAnsi="Arial" w:cs="Arial"/>
                <w:i/>
                <w:color w:val="000000" w:themeColor="text1"/>
                <w:sz w:val="20"/>
                <w:szCs w:val="20"/>
                <w:lang w:val="en-US"/>
              </w:rPr>
              <w:t xml:space="preserve"> </w:t>
            </w:r>
            <w:r w:rsidRPr="00D31BEA">
              <w:rPr>
                <w:rFonts w:ascii="Arial" w:hAnsi="Arial" w:cs="Arial"/>
                <w:color w:val="000000" w:themeColor="text1"/>
                <w:sz w:val="20"/>
                <w:szCs w:val="20"/>
                <w:lang w:val="en-US"/>
              </w:rPr>
              <w:t>flanked</w:t>
            </w:r>
            <w:r w:rsidRPr="00D31BEA">
              <w:rPr>
                <w:rFonts w:ascii="Arial" w:hAnsi="Arial" w:cs="Arial"/>
                <w:i/>
                <w:color w:val="000000" w:themeColor="text1"/>
                <w:sz w:val="20"/>
                <w:szCs w:val="20"/>
                <w:lang w:val="en-US"/>
              </w:rPr>
              <w:t xml:space="preserve"> by frt</w:t>
            </w:r>
            <w:r w:rsidRPr="00D31BEA">
              <w:rPr>
                <w:rFonts w:ascii="Arial" w:hAnsi="Arial" w:cs="Arial"/>
                <w:color w:val="000000" w:themeColor="text1"/>
                <w:sz w:val="20"/>
                <w:szCs w:val="20"/>
                <w:lang w:val="en-US"/>
              </w:rPr>
              <w:t>, Amp</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shd w:val="clear" w:color="auto" w:fill="FFFFFF"/>
                <w:lang w:val="en-US"/>
              </w:rPr>
              <w:t>.</w:t>
            </w:r>
          </w:p>
        </w:tc>
        <w:tc>
          <w:tcPr>
            <w:tcW w:w="2217" w:type="dxa"/>
          </w:tcPr>
          <w:p w14:paraId="724E227B" w14:textId="77777777" w:rsidR="006A39EA" w:rsidRPr="00D31BEA" w:rsidRDefault="006A39EA" w:rsidP="00106EE0">
            <w:pPr>
              <w:spacing w:after="160"/>
              <w:contextualSpacing/>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cells.","author":[{"dropping-particle":"","family":"Datsenko","given":"Kirill A.","non-dropping-particle":"","parse-names":false,"suffix":""},{"dropping-particle":"","family":"Wanner","given":"Barry L.","non-dropping-particle":"","parse-names":false,"suffix":""}],"container-title":"Proceedings of the National Academy of Sciences of the United States of America","id":"ITEM-1","issue":"12","issued":{"date-parts":[["2000","6","6"]]},"page":"6640-5","title":"One-step inactivation of chromosomal genes in Escherichia coli K-12 using PCR products.","type":"article-journal","volume":"97"},"uris":["http://www.mendeley.com/documents/?uuid=79c174e6-3231-47c8-bf21-b097641f148f"]}],"mendeley":{"formattedCitation":"(Datsenko &amp; Wanner, 2000)","plainTextFormattedCitation":"(Datsenko &amp; Wanner, 2000)","previouslyFormattedCitation":"(Datsenko &amp; Wanner, 2000)"},"properties":{"noteIndex":0},"schema":"https://github.com/citation-style-language/schema/raw/master/csl-citation.json"}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(Datsenko &amp; Wanner, 2000)</w:t>
            </w:r>
            <w:r w:rsidRPr="00D31BEA">
              <w:rPr>
                <w:rFonts w:ascii="Arial" w:hAnsi="Arial" w:cs="Arial"/>
                <w:color w:val="000000" w:themeColor="text1"/>
                <w:sz w:val="20"/>
                <w:szCs w:val="20"/>
                <w:lang w:val="en-US"/>
              </w:rPr>
              <w:fldChar w:fldCharType="end"/>
            </w:r>
          </w:p>
        </w:tc>
      </w:tr>
      <w:tr w:rsidR="006A39EA" w:rsidRPr="00D31BEA" w14:paraId="02AF05BD" w14:textId="77777777" w:rsidTr="00106EE0">
        <w:tc>
          <w:tcPr>
            <w:tcW w:w="1528" w:type="dxa"/>
          </w:tcPr>
          <w:p w14:paraId="6AF08EC3"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pKD4</w:t>
            </w:r>
          </w:p>
        </w:tc>
        <w:tc>
          <w:tcPr>
            <w:tcW w:w="5271" w:type="dxa"/>
            <w:shd w:val="clear" w:color="auto" w:fill="auto"/>
          </w:tcPr>
          <w:p w14:paraId="29A1CBF9"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R6K ori,</w:t>
            </w:r>
            <w:r w:rsidRPr="00D31BEA">
              <w:rPr>
                <w:rFonts w:ascii="Arial" w:hAnsi="Arial" w:cs="Arial"/>
                <w:i/>
                <w:color w:val="000000" w:themeColor="text1"/>
                <w:sz w:val="20"/>
                <w:szCs w:val="20"/>
                <w:lang w:val="en-US"/>
              </w:rPr>
              <w:t xml:space="preserve"> T</w:t>
            </w:r>
            <w:r w:rsidRPr="00D31BEA">
              <w:rPr>
                <w:rFonts w:ascii="Arial" w:hAnsi="Arial" w:cs="Arial"/>
                <w:color w:val="000000" w:themeColor="text1"/>
                <w:sz w:val="20"/>
                <w:szCs w:val="20"/>
                <w:lang w:val="en-US"/>
              </w:rPr>
              <w:t>n5 neomycin phosphotransferase cassette flanked</w:t>
            </w:r>
            <w:r w:rsidRPr="00D31BEA">
              <w:rPr>
                <w:rFonts w:ascii="Arial" w:hAnsi="Arial" w:cs="Arial"/>
                <w:i/>
                <w:color w:val="000000" w:themeColor="text1"/>
                <w:sz w:val="20"/>
                <w:szCs w:val="20"/>
                <w:lang w:val="en-US"/>
              </w:rPr>
              <w:t xml:space="preserve"> by frt</w:t>
            </w:r>
            <w:r w:rsidRPr="00D31BEA">
              <w:rPr>
                <w:rFonts w:ascii="Arial" w:hAnsi="Arial" w:cs="Arial"/>
                <w:color w:val="000000" w:themeColor="text1"/>
                <w:sz w:val="20"/>
                <w:szCs w:val="20"/>
                <w:lang w:val="en-US"/>
              </w:rPr>
              <w:t>, Amp</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shd w:val="clear" w:color="auto" w:fill="FFFFFF"/>
                <w:lang w:val="en-US"/>
              </w:rPr>
              <w:t>.</w:t>
            </w:r>
          </w:p>
        </w:tc>
        <w:tc>
          <w:tcPr>
            <w:tcW w:w="2217" w:type="dxa"/>
          </w:tcPr>
          <w:p w14:paraId="3F1AD01F" w14:textId="77777777" w:rsidR="006A39EA" w:rsidRPr="00D31BEA" w:rsidRDefault="006A39EA" w:rsidP="00106EE0">
            <w:pPr>
              <w:spacing w:after="160"/>
              <w:contextualSpacing/>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cells.","author":[{"dropping-particle":"","family":"Datsenko","given":"Kirill A.","non-dropping-particle":"","parse-names":false,"suffix":""},{"dropping-particle":"","family":"Wanner","given":"Barry L.","non-dropping-particle":"","parse-names":false,"suffix":""}],"container-title":"Proceedings of the National Academy of Sciences of the United States of America","id":"ITEM-1","issue":"12","issued":{"date-parts":[["2000","6","6"]]},"page":"6640-5","title":"One-step inactivation of chromosomal genes in Escherichia coli K-12 using PCR products.","type":"article-journal","volume":"97"},"uris":["http://www.mendeley.com/documents/?uuid=79c174e6-3231-47c8-bf21-b097641f148f"]}],"mendeley":{"formattedCitation":"(Datsenko &amp; Wanner, 2000)","plainTextFormattedCitation":"(Datsenko &amp; Wanner, 2000)","previouslyFormattedCitation":"(Datsenko &amp; Wanner, 2000)"},"properties":{"noteIndex":0},"schema":"https://github.com/citation-style-language/schema/raw/master/csl-citation.json"}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(Datsenko &amp; Wanner, 2000)</w:t>
            </w:r>
            <w:r w:rsidRPr="00D31BEA">
              <w:rPr>
                <w:rFonts w:ascii="Arial" w:hAnsi="Arial" w:cs="Arial"/>
                <w:color w:val="000000" w:themeColor="text1"/>
                <w:sz w:val="20"/>
                <w:szCs w:val="20"/>
                <w:lang w:val="en-US"/>
              </w:rPr>
              <w:fldChar w:fldCharType="end"/>
            </w:r>
          </w:p>
        </w:tc>
      </w:tr>
      <w:tr w:rsidR="006A39EA" w:rsidRPr="00D31BEA" w14:paraId="677C6818" w14:textId="77777777" w:rsidTr="00106EE0">
        <w:tc>
          <w:tcPr>
            <w:tcW w:w="1528" w:type="dxa"/>
          </w:tcPr>
          <w:p w14:paraId="0F7BDA49"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pKD46</w:t>
            </w:r>
          </w:p>
        </w:tc>
        <w:tc>
          <w:tcPr>
            <w:tcW w:w="5271" w:type="dxa"/>
            <w:shd w:val="clear" w:color="auto" w:fill="auto"/>
          </w:tcPr>
          <w:p w14:paraId="1D71E5F6"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shd w:val="clear" w:color="auto" w:fill="FFFFFF"/>
                <w:lang w:val="en-US"/>
              </w:rPr>
              <w:t xml:space="preserve">Temperature sensitive replication origin oriR101, </w:t>
            </w:r>
            <w:r w:rsidRPr="00D31BEA">
              <w:rPr>
                <w:rFonts w:ascii="Arial" w:hAnsi="Arial" w:cs="Arial"/>
                <w:iCs/>
                <w:color w:val="000000" w:themeColor="text1"/>
                <w:sz w:val="20"/>
                <w:szCs w:val="20"/>
                <w:lang w:val="en-US"/>
              </w:rPr>
              <w:t>arabinose-inducible lambda recombinase genes</w:t>
            </w:r>
            <w:r w:rsidRPr="00D31BEA">
              <w:rPr>
                <w:rFonts w:ascii="Arial" w:hAnsi="Arial" w:cs="Arial"/>
                <w:i/>
                <w:iCs/>
                <w:color w:val="000000" w:themeColor="text1"/>
                <w:sz w:val="20"/>
                <w:szCs w:val="20"/>
                <w:lang w:val="en-US"/>
              </w:rPr>
              <w:t>,</w:t>
            </w:r>
            <w:r w:rsidRPr="00D31BEA">
              <w:rPr>
                <w:rFonts w:ascii="Arial" w:hAnsi="Arial" w:cs="Arial"/>
                <w:color w:val="000000" w:themeColor="text1"/>
                <w:sz w:val="20"/>
                <w:szCs w:val="20"/>
                <w:shd w:val="clear" w:color="auto" w:fill="FFFFFF"/>
                <w:lang w:val="en-US"/>
              </w:rPr>
              <w:t xml:space="preserve"> Amp</w:t>
            </w:r>
            <w:r w:rsidRPr="00D31BEA">
              <w:rPr>
                <w:rFonts w:ascii="Arial" w:hAnsi="Arial" w:cs="Arial"/>
                <w:color w:val="000000" w:themeColor="text1"/>
                <w:sz w:val="20"/>
                <w:szCs w:val="20"/>
                <w:shd w:val="clear" w:color="auto" w:fill="FFFFFF"/>
                <w:vertAlign w:val="superscript"/>
                <w:lang w:val="en-US"/>
              </w:rPr>
              <w:t>R</w:t>
            </w:r>
            <w:r w:rsidRPr="00D31BEA">
              <w:rPr>
                <w:rFonts w:ascii="Arial" w:hAnsi="Arial" w:cs="Arial"/>
                <w:color w:val="000000" w:themeColor="text1"/>
                <w:sz w:val="20"/>
                <w:szCs w:val="20"/>
                <w:shd w:val="clear" w:color="auto" w:fill="FFFFFF"/>
                <w:lang w:val="en-US"/>
              </w:rPr>
              <w:t>.</w:t>
            </w:r>
          </w:p>
        </w:tc>
        <w:tc>
          <w:tcPr>
            <w:tcW w:w="2217" w:type="dxa"/>
          </w:tcPr>
          <w:p w14:paraId="358FC4C4" w14:textId="77777777" w:rsidR="006A39EA" w:rsidRPr="00D31BEA" w:rsidRDefault="006A39EA" w:rsidP="00106EE0">
            <w:pPr>
              <w:spacing w:after="160"/>
              <w:contextualSpacing/>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cells.","author":[{"dropping-particle":"","family":"Datsenko","given":"Kirill A.","non-dropping-particle":"","parse-names":false,"suffix":""},{"dropping-particle":"","family":"Wanner","given":"Barry L.","non-dropping-particle":"","parse-names":false,"suffix":""}],"container-title":"Proceedings of the National Academy of Sciences of the United States of America","id":"ITEM-1","issue":"12","issued":{"date-parts":[["2000","6","6"]]},"page":"6640-5","title":"One-step inactivation of chromosomal genes in Escherichia coli K-12 using PCR products.","type":"article-journal","volume":"97"},"uris":["http://www.mendeley.com/documents/?uuid=79c174e6-3231-47c8-bf21-b097641f148f"]}],"mendeley":{"formattedCitation":"(Datsenko &amp; Wanner, 2000)","plainTextFormattedCitation":"(Datsenko &amp; Wanner, 2000)","previouslyFormattedCitation":"(Datsenko &amp; Wanner, 2000)"},"properties":{"noteIndex":0},"schema":"https://github.com/citation-style-language/schema/raw/master/csl-citation.json"}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(Datsenko &amp; Wanner, 2000)</w:t>
            </w:r>
            <w:r w:rsidRPr="00D31BEA">
              <w:rPr>
                <w:rFonts w:ascii="Arial" w:hAnsi="Arial" w:cs="Arial"/>
                <w:color w:val="000000" w:themeColor="text1"/>
                <w:sz w:val="20"/>
                <w:szCs w:val="20"/>
                <w:lang w:val="en-US"/>
              </w:rPr>
              <w:fldChar w:fldCharType="end"/>
            </w:r>
          </w:p>
        </w:tc>
      </w:tr>
      <w:tr w:rsidR="006A39EA" w:rsidRPr="00D31BEA" w14:paraId="26313B54" w14:textId="77777777" w:rsidTr="00106EE0">
        <w:tc>
          <w:tcPr>
            <w:tcW w:w="1528" w:type="dxa"/>
          </w:tcPr>
          <w:p w14:paraId="2AB25934"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pCP20</w:t>
            </w:r>
          </w:p>
        </w:tc>
        <w:tc>
          <w:tcPr>
            <w:tcW w:w="5271" w:type="dxa"/>
            <w:shd w:val="clear" w:color="auto" w:fill="auto"/>
          </w:tcPr>
          <w:p w14:paraId="1714FCBB"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 xml:space="preserve">Temperature sensitive replication origin </w:t>
            </w:r>
            <w:r w:rsidRPr="00D31BEA">
              <w:rPr>
                <w:rFonts w:ascii="Arial" w:hAnsi="Arial" w:cs="Arial"/>
                <w:color w:val="000000" w:themeColor="text1"/>
                <w:sz w:val="20"/>
                <w:szCs w:val="20"/>
                <w:shd w:val="clear" w:color="auto" w:fill="FFFFFF"/>
                <w:lang w:val="en-US"/>
              </w:rPr>
              <w:t>oriR101</w:t>
            </w:r>
            <w:r w:rsidRPr="00D31BEA">
              <w:rPr>
                <w:rFonts w:ascii="Arial" w:hAnsi="Arial" w:cs="Arial"/>
                <w:color w:val="000000" w:themeColor="text1"/>
                <w:sz w:val="20"/>
                <w:szCs w:val="20"/>
                <w:lang w:val="en-US"/>
              </w:rPr>
              <w:t>, Flp recombinase gene, Chl</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lang w:val="en-US"/>
              </w:rPr>
              <w:t>, Amp</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shd w:val="clear" w:color="auto" w:fill="FFFFFF"/>
                <w:lang w:val="en-US"/>
              </w:rPr>
              <w:t>.</w:t>
            </w:r>
          </w:p>
        </w:tc>
        <w:tc>
          <w:tcPr>
            <w:tcW w:w="2217" w:type="dxa"/>
          </w:tcPr>
          <w:p w14:paraId="1B30476F" w14:textId="77777777" w:rsidR="006A39EA" w:rsidRPr="00D31BEA" w:rsidRDefault="006A39EA" w:rsidP="00106EE0">
            <w:pPr>
              <w:spacing w:after="160"/>
              <w:contextualSpacing/>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{"citationItems":[{"id":"ITEM-1","itemData":{"DOI":"10.1016/0378-1119(95)00193-a","ISSN":"0378-1119","PMID":"7789817","abstract":"Two cassettes with tetracycline-resistance (TcR) and kanamycin-resistance (KmR) determinants have been developed for the construction of insertion and deletion mutants of cloned genes in Escherichia coli. In both cassettes, the resistance determinants are flanked by the short direct repeats (FRT sites) required for site-specific recombination mediated by the yeast Flp recombinase. In addition, a plasmid with temperature-sensitive replication for temporal production of the Flp enzyme in E. coli has been constructed. After a gene disruption or deletion mutation is constructed in vitro by insertion of one of the cassettes into a given gene, the mutated gene is transferred to the E. coli chromosome by homologous recombination and selection for the antibiotic resistance provided by the cassette. If desired, the resistance determinant can subsequently be removed from the chromosome in vivo by Flp action, leaving behind a short nucleotide sequence with one FRT site and with no polar effect on downstream genes. This system was applied in the construction of an E. coli endA deletion mutation which can be transduced by P1 to the genetic background of interest using TcR as a marker. The transductant can then be freed of the TcR if required.","author":[{"dropping-particle":"","family":"Cherepanov","given":"P P","non-dropping-particle":"","parse-names":false,"suffix":""},{"dropping-particle":"","family":"Wackernagel","given":"W","non-dropping-particle":"","parse-names":false,"suffix":""}],"container-title":"Gene","id":"ITEM-1","issue":"1","issued":{"date-parts":[["1995","5","26"]]},"page":"9-14","title":"Gene disruption in Escherichia coli: TcR and KmR cassettes with the option of Flp-catalyzed excision of the antibiotic-resistance determinant.","type":"article-journal","volume":"158"},"uris":["http://www.mendeley.com/documents/?uuid=7ada36e4-6db6-454f-98c3-11322dbe00a7"]}],"mendeley":{"formattedCitation":"(Cherepanov &amp; Wackernagel, 1995)","plainTextFormattedCitation":"(Cherepanov &amp; Wackernagel, 1995)","previouslyFormattedCitation":"(Cherepanov &amp; Wackernagel, 1995)"},"properties":{"noteIndex":0},"schema":"https://github.com/citation-style-language/schema/raw/master/csl-citation.json"}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(Cherepanov &amp; Wackernagel, 1995)</w:t>
            </w:r>
            <w:r w:rsidRPr="00D31BEA">
              <w:rPr>
                <w:rFonts w:ascii="Arial" w:hAnsi="Arial" w:cs="Arial"/>
                <w:color w:val="000000" w:themeColor="text1"/>
                <w:sz w:val="20"/>
                <w:szCs w:val="20"/>
                <w:lang w:val="en-US"/>
              </w:rPr>
              <w:fldChar w:fldCharType="end"/>
            </w:r>
          </w:p>
        </w:tc>
      </w:tr>
      <w:tr w:rsidR="006A39EA" w:rsidRPr="00D31BEA" w14:paraId="752C61AF" w14:textId="77777777" w:rsidTr="00106EE0">
        <w:tc>
          <w:tcPr>
            <w:tcW w:w="1528" w:type="dxa"/>
          </w:tcPr>
          <w:p w14:paraId="49BDBC5D" w14:textId="77777777" w:rsidR="006A39EA" w:rsidRPr="00D31BEA" w:rsidRDefault="006A39EA" w:rsidP="00106EE0">
            <w:pPr>
              <w:spacing w:after="160"/>
              <w:contextualSpacing/>
              <w:jc w:val="both"/>
              <w:rPr>
                <w:rFonts w:ascii="Arial" w:hAnsi="Arial" w:cs="Arial"/>
                <w:color w:val="000000" w:themeColor="text1"/>
                <w:sz w:val="20"/>
                <w:szCs w:val="20"/>
                <w:lang w:val="en-US"/>
              </w:rPr>
            </w:pPr>
            <w:r w:rsidRPr="00D31BEA">
              <w:rPr>
                <w:rFonts w:ascii="Arial" w:hAnsi="Arial" w:cs="Arial"/>
                <w:color w:val="000000" w:themeColor="text1"/>
                <w:sz w:val="20"/>
                <w:szCs w:val="20"/>
                <w:lang w:val="en-US"/>
              </w:rPr>
              <w:t>pNUT1361</w:t>
            </w:r>
          </w:p>
        </w:tc>
        <w:tc>
          <w:tcPr>
            <w:tcW w:w="5271" w:type="dxa"/>
            <w:shd w:val="clear" w:color="auto" w:fill="auto"/>
          </w:tcPr>
          <w:p w14:paraId="0EF01421" w14:textId="77777777" w:rsidR="006A39EA" w:rsidRPr="00D31BEA" w:rsidRDefault="006A39EA" w:rsidP="00106EE0">
            <w:pPr>
              <w:spacing w:after="160"/>
              <w:contextualSpacing/>
              <w:jc w:val="both"/>
              <w:rPr>
                <w:rFonts w:ascii="Arial" w:hAnsi="Arial" w:cs="Arial"/>
                <w:color w:val="000000" w:themeColor="text1"/>
                <w:sz w:val="20"/>
                <w:szCs w:val="20"/>
                <w:lang w:val="en-US"/>
              </w:rPr>
            </w:pPr>
            <w:r w:rsidRPr="00D31BEA">
              <w:rPr>
                <w:rFonts w:ascii="Arial" w:hAnsi="Arial" w:cs="Arial"/>
                <w:color w:val="000000" w:themeColor="text1"/>
                <w:sz w:val="20"/>
                <w:szCs w:val="20"/>
                <w:lang w:val="en-US"/>
              </w:rPr>
              <w:t>pSC101*, Kan</w:t>
            </w:r>
            <w:r w:rsidRPr="00D31BEA">
              <w:rPr>
                <w:rFonts w:ascii="Arial" w:hAnsi="Arial" w:cs="Arial"/>
                <w:b/>
                <w:i/>
                <w:color w:val="000000" w:themeColor="text1"/>
                <w:sz w:val="20"/>
                <w:szCs w:val="20"/>
                <w:vertAlign w:val="superscript"/>
                <w:lang w:val="en-US"/>
              </w:rPr>
              <w:t>R</w:t>
            </w:r>
            <w:r w:rsidRPr="00D31BEA">
              <w:rPr>
                <w:rFonts w:ascii="Arial" w:hAnsi="Arial" w:cs="Arial"/>
                <w:b/>
                <w:i/>
                <w:color w:val="000000" w:themeColor="text1"/>
                <w:sz w:val="20"/>
                <w:szCs w:val="20"/>
                <w:lang w:val="en-US"/>
              </w:rPr>
              <w:t xml:space="preserve">, </w:t>
            </w:r>
            <w:r w:rsidRPr="00D31BEA">
              <w:rPr>
                <w:rFonts w:ascii="Arial" w:hAnsi="Arial" w:cs="Arial"/>
                <w:color w:val="000000" w:themeColor="text1"/>
                <w:sz w:val="20"/>
                <w:szCs w:val="20"/>
                <w:lang w:val="en-US"/>
              </w:rPr>
              <w:t>P</w:t>
            </w:r>
            <w:r w:rsidRPr="00D31BEA">
              <w:rPr>
                <w:rFonts w:ascii="Arial" w:hAnsi="Arial" w:cs="Arial"/>
                <w:i/>
                <w:iCs/>
                <w:color w:val="000000" w:themeColor="text1"/>
                <w:sz w:val="20"/>
                <w:szCs w:val="20"/>
                <w:vertAlign w:val="subscript"/>
                <w:lang w:val="en-US"/>
              </w:rPr>
              <w:t>tac</w:t>
            </w:r>
            <w:r w:rsidRPr="00D31BEA">
              <w:rPr>
                <w:rFonts w:ascii="Arial" w:hAnsi="Arial" w:cs="Arial"/>
                <w:i/>
                <w:iCs/>
                <w:color w:val="000000" w:themeColor="text1"/>
                <w:sz w:val="20"/>
                <w:szCs w:val="20"/>
                <w:lang w:val="en-US"/>
              </w:rPr>
              <w:t>-sfgfp</w:t>
            </w:r>
            <w:r w:rsidRPr="00D31BEA">
              <w:rPr>
                <w:rFonts w:ascii="Arial" w:hAnsi="Arial" w:cs="Arial"/>
                <w:color w:val="000000" w:themeColor="text1"/>
                <w:sz w:val="20"/>
                <w:szCs w:val="20"/>
                <w:shd w:val="clear" w:color="auto" w:fill="FFFFFF"/>
                <w:lang w:val="en-US"/>
              </w:rPr>
              <w:t>.</w:t>
            </w:r>
          </w:p>
        </w:tc>
        <w:tc>
          <w:tcPr>
            <w:tcW w:w="2217" w:type="dxa"/>
          </w:tcPr>
          <w:p w14:paraId="2B40EF63"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t>Drescher lab stock</w:t>
            </w:r>
          </w:p>
        </w:tc>
      </w:tr>
      <w:tr w:rsidR="006A39EA" w:rsidRPr="00D31BEA" w14:paraId="515821C8" w14:textId="77777777" w:rsidTr="00106EE0">
        <w:tc>
          <w:tcPr>
            <w:tcW w:w="1528" w:type="dxa"/>
          </w:tcPr>
          <w:p w14:paraId="42AC63AC"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pNUT2338</w:t>
            </w:r>
          </w:p>
        </w:tc>
        <w:tc>
          <w:tcPr>
            <w:tcW w:w="5271" w:type="dxa"/>
            <w:shd w:val="clear" w:color="auto" w:fill="auto"/>
          </w:tcPr>
          <w:p w14:paraId="6A7882F1" w14:textId="77777777" w:rsidR="006A39EA" w:rsidRPr="00D31BEA" w:rsidRDefault="006A39EA" w:rsidP="00106EE0">
            <w:pPr>
              <w:spacing w:after="160"/>
              <w:contextualSpacing/>
              <w:jc w:val="both"/>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pSC101*, Kan</w:t>
            </w:r>
            <w:r w:rsidRPr="00D31BEA">
              <w:rPr>
                <w:rFonts w:ascii="Arial" w:hAnsi="Arial" w:cs="Arial"/>
                <w:b/>
                <w:i/>
                <w:color w:val="000000" w:themeColor="text1"/>
                <w:sz w:val="20"/>
                <w:szCs w:val="20"/>
                <w:vertAlign w:val="superscript"/>
                <w:lang w:val="en-US"/>
              </w:rPr>
              <w:t>R</w:t>
            </w:r>
            <w:r w:rsidRPr="00D31BEA">
              <w:rPr>
                <w:rFonts w:ascii="Arial" w:hAnsi="Arial" w:cs="Arial"/>
                <w:b/>
                <w:i/>
                <w:color w:val="000000" w:themeColor="text1"/>
                <w:sz w:val="20"/>
                <w:szCs w:val="20"/>
                <w:lang w:val="en-US"/>
              </w:rPr>
              <w:t xml:space="preserve">, </w:t>
            </w:r>
            <w:r w:rsidRPr="00D31BEA">
              <w:rPr>
                <w:rFonts w:ascii="Arial" w:hAnsi="Arial" w:cs="Arial"/>
                <w:color w:val="000000" w:themeColor="text1"/>
                <w:sz w:val="20"/>
                <w:szCs w:val="20"/>
                <w:lang w:val="en-US"/>
              </w:rPr>
              <w:t>P</w:t>
            </w:r>
            <w:r w:rsidRPr="00D31BEA">
              <w:rPr>
                <w:rFonts w:ascii="Arial" w:hAnsi="Arial" w:cs="Arial"/>
                <w:i/>
                <w:iCs/>
                <w:color w:val="000000" w:themeColor="text1"/>
                <w:sz w:val="20"/>
                <w:szCs w:val="20"/>
                <w:vertAlign w:val="subscript"/>
                <w:lang w:val="en-US"/>
              </w:rPr>
              <w:t>tac</w:t>
            </w:r>
            <w:r w:rsidRPr="00D31BEA">
              <w:rPr>
                <w:rFonts w:ascii="Arial" w:hAnsi="Arial" w:cs="Arial"/>
                <w:i/>
                <w:iCs/>
                <w:color w:val="000000" w:themeColor="text1"/>
                <w:sz w:val="20"/>
                <w:szCs w:val="20"/>
                <w:lang w:val="en-US"/>
              </w:rPr>
              <w:t>-mRuby2-mRuby2</w:t>
            </w:r>
            <w:r w:rsidRPr="00D31BEA">
              <w:rPr>
                <w:rFonts w:ascii="Arial" w:hAnsi="Arial" w:cs="Arial"/>
                <w:color w:val="000000" w:themeColor="text1"/>
                <w:sz w:val="20"/>
                <w:szCs w:val="20"/>
                <w:shd w:val="clear" w:color="auto" w:fill="FFFFFF"/>
                <w:lang w:val="en-US"/>
              </w:rPr>
              <w:t>.</w:t>
            </w:r>
          </w:p>
        </w:tc>
        <w:tc>
          <w:tcPr>
            <w:tcW w:w="2217" w:type="dxa"/>
          </w:tcPr>
          <w:p w14:paraId="2C444001" w14:textId="77777777" w:rsidR="006A39EA" w:rsidRPr="00D31BEA" w:rsidRDefault="006A39EA" w:rsidP="00106EE0">
            <w:pPr>
              <w:spacing w:after="160"/>
              <w:contextualSpacing/>
              <w:rPr>
                <w:rFonts w:ascii="Arial" w:hAnsi="Arial" w:cs="Arial"/>
                <w:b/>
                <w:color w:val="000000" w:themeColor="text1"/>
                <w:sz w:val="20"/>
                <w:szCs w:val="20"/>
                <w:lang w:val="en-US"/>
              </w:rPr>
            </w:pPr>
            <w:r w:rsidRPr="00D31BEA">
              <w:rPr>
                <w:rFonts w:ascii="Arial" w:hAnsi="Arial" w:cs="Arial"/>
                <w:color w:val="000000" w:themeColor="text1"/>
                <w:sz w:val="20"/>
                <w:szCs w:val="20"/>
                <w:lang w:val="en-US"/>
              </w:rPr>
              <w:t>This study</w:t>
            </w:r>
          </w:p>
        </w:tc>
      </w:tr>
      <w:tr w:rsidR="006A39EA" w:rsidRPr="00D31BEA" w14:paraId="005F7936" w14:textId="77777777" w:rsidTr="00106EE0">
        <w:trPr>
          <w:trHeight w:val="65"/>
        </w:trPr>
        <w:tc>
          <w:tcPr>
            <w:tcW w:w="1528" w:type="dxa"/>
          </w:tcPr>
          <w:p w14:paraId="3D14D112" w14:textId="77777777" w:rsidR="006A39EA" w:rsidRPr="00D31BEA" w:rsidRDefault="006A39EA" w:rsidP="00106EE0">
            <w:pPr>
              <w:rPr>
                <w:rFonts w:ascii="Arial" w:hAnsi="Arial" w:cs="Arial"/>
                <w:color w:val="000000" w:themeColor="text1"/>
                <w:sz w:val="20"/>
                <w:szCs w:val="20"/>
                <w:lang w:val="en-US"/>
              </w:rPr>
            </w:pPr>
            <w:r w:rsidRPr="00D31BEA">
              <w:rPr>
                <w:rFonts w:ascii="Arial" w:hAnsi="Arial" w:cs="Arial"/>
                <w:color w:val="000000" w:themeColor="text1"/>
                <w:sz w:val="20"/>
                <w:szCs w:val="20"/>
                <w:lang w:val="en-US"/>
              </w:rPr>
              <w:t>pUC18R6KT-mini-Tn7-Km</w:t>
            </w:r>
          </w:p>
          <w:p w14:paraId="62A56A17" w14:textId="77777777" w:rsidR="006A39EA" w:rsidRPr="00D31BEA" w:rsidRDefault="006A39EA" w:rsidP="00106EE0">
            <w:pPr>
              <w:spacing w:after="160"/>
              <w:contextualSpacing/>
              <w:jc w:val="both"/>
              <w:rPr>
                <w:rFonts w:ascii="Arial" w:hAnsi="Arial" w:cs="Arial"/>
                <w:color w:val="000000" w:themeColor="text1"/>
                <w:sz w:val="20"/>
                <w:szCs w:val="20"/>
                <w:lang w:val="en-US"/>
              </w:rPr>
            </w:pPr>
          </w:p>
        </w:tc>
        <w:tc>
          <w:tcPr>
            <w:tcW w:w="5271" w:type="dxa"/>
            <w:shd w:val="clear" w:color="auto" w:fill="auto"/>
          </w:tcPr>
          <w:p w14:paraId="7EE3EA4A" w14:textId="77777777" w:rsidR="006A39EA" w:rsidRPr="00D31BEA" w:rsidRDefault="006A39EA" w:rsidP="00106EE0">
            <w:pPr>
              <w:rPr>
                <w:color w:val="000000" w:themeColor="text1"/>
                <w:sz w:val="20"/>
                <w:szCs w:val="20"/>
                <w:lang w:val="en-US"/>
              </w:rPr>
            </w:pPr>
            <w:r w:rsidRPr="00D31BEA">
              <w:rPr>
                <w:rFonts w:ascii="Arial" w:hAnsi="Arial" w:cs="Arial"/>
                <w:color w:val="000000" w:themeColor="text1"/>
                <w:sz w:val="20"/>
                <w:szCs w:val="20"/>
                <w:lang w:val="en-US"/>
              </w:rPr>
              <w:t xml:space="preserve">R6K ori, contains </w:t>
            </w:r>
            <w:r w:rsidRPr="00D31BEA">
              <w:rPr>
                <w:rFonts w:ascii="Arial" w:hAnsi="Arial" w:cs="Arial"/>
                <w:i/>
                <w:iCs/>
                <w:color w:val="000000" w:themeColor="text1"/>
                <w:sz w:val="20"/>
                <w:szCs w:val="20"/>
                <w:lang w:val="en-US"/>
              </w:rPr>
              <w:t>Tn7L</w:t>
            </w:r>
            <w:r w:rsidRPr="00D31BEA">
              <w:rPr>
                <w:rFonts w:ascii="Arial" w:hAnsi="Arial" w:cs="Arial"/>
                <w:color w:val="000000" w:themeColor="text1"/>
                <w:sz w:val="20"/>
                <w:szCs w:val="20"/>
                <w:lang w:val="en-US"/>
              </w:rPr>
              <w:t xml:space="preserve"> and </w:t>
            </w:r>
            <w:r w:rsidRPr="00D31BEA">
              <w:rPr>
                <w:rFonts w:ascii="Arial" w:hAnsi="Arial" w:cs="Arial"/>
                <w:i/>
                <w:iCs/>
                <w:color w:val="000000" w:themeColor="text1"/>
                <w:sz w:val="20"/>
                <w:szCs w:val="20"/>
                <w:lang w:val="en-US"/>
              </w:rPr>
              <w:t>Tn7R</w:t>
            </w:r>
            <w:r w:rsidRPr="00D31BEA">
              <w:rPr>
                <w:rFonts w:ascii="Arial" w:hAnsi="Arial" w:cs="Arial"/>
                <w:color w:val="000000" w:themeColor="text1"/>
                <w:sz w:val="20"/>
                <w:szCs w:val="20"/>
                <w:lang w:val="en-US"/>
              </w:rPr>
              <w:t xml:space="preserve"> sites, between these sites a</w:t>
            </w:r>
            <w:r w:rsidRPr="00D31BEA">
              <w:rPr>
                <w:rFonts w:ascii="Arial" w:hAnsi="Arial" w:cs="Arial"/>
                <w:i/>
                <w:color w:val="000000" w:themeColor="text1"/>
                <w:sz w:val="20"/>
                <w:szCs w:val="20"/>
                <w:lang w:val="en-US"/>
              </w:rPr>
              <w:t xml:space="preserve"> T</w:t>
            </w:r>
            <w:r w:rsidRPr="00D31BEA">
              <w:rPr>
                <w:rFonts w:ascii="Arial" w:hAnsi="Arial" w:cs="Arial"/>
                <w:color w:val="000000" w:themeColor="text1"/>
                <w:sz w:val="20"/>
                <w:szCs w:val="20"/>
                <w:lang w:val="en-US"/>
              </w:rPr>
              <w:t>n5 neomycin phosphotransferase cassette flanked</w:t>
            </w:r>
            <w:r w:rsidRPr="00D31BEA">
              <w:rPr>
                <w:rFonts w:ascii="Arial" w:hAnsi="Arial" w:cs="Arial"/>
                <w:i/>
                <w:color w:val="000000" w:themeColor="text1"/>
                <w:sz w:val="20"/>
                <w:szCs w:val="20"/>
                <w:lang w:val="en-US"/>
              </w:rPr>
              <w:t xml:space="preserve"> by frt</w:t>
            </w:r>
            <w:r w:rsidRPr="00D31BEA">
              <w:rPr>
                <w:rFonts w:ascii="Arial" w:hAnsi="Arial" w:cs="Arial"/>
                <w:color w:val="000000" w:themeColor="text1"/>
                <w:sz w:val="20"/>
                <w:szCs w:val="20"/>
                <w:lang w:val="en-US"/>
              </w:rPr>
              <w:t>, Amp</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lang w:val="en-US"/>
              </w:rPr>
              <w:t>.</w:t>
            </w:r>
          </w:p>
        </w:tc>
        <w:tc>
          <w:tcPr>
            <w:tcW w:w="2217" w:type="dxa"/>
          </w:tcPr>
          <w:p w14:paraId="08A01558"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{"citationItems":[{"id":"ITEM-1","itemData":{"DOI":"10.1038/nmeth765","ISSN":"1548-7091","PMID":"15908923","abstract":"For many bacteria, cloning and expression systems are either scarce or nonexistent. We constructed several mini-Tn7 vectors and evaluated their potential as broad-range cloning and expression systems. In bacteria with a single chromosome, including Pseudomonas aeruginosa, Pseudomonas putida and Yersinia pestis, and in the presence of a helper plasmid encoding the site-specific transposition pathway, site- and orientation-specific Tn7 insertions occurred at a single attTn7 site downstream of the glmS gene. Burkholderia thailandensis contains two chromosomes, each containing a glmS gene and an attTn7 site. The Tn7 system allows engineering of diverse genetic traits into bacteria, as demonstrated by complementing a biofilm-growth defect of P. aeruginosa, establishing expression systems in P. aeruginosa and P. putida, and 'GFP-tagging' Y. pestis. This system will thus have widespread biomedical and environmental applications, especially in environments where plasmids and antibiotic selection are not feasible, namely in plant and animal models or biofilms.","author":[{"dropping-particle":"","family":"Choi","given":"Kyoung-Hee","non-dropping-particle":"","parse-names":false,"suffix":""},{"dropping-particle":"","family":"Gaynor","given":"Jared B.","non-dropping-particle":"","parse-names":false,"suffix":""},{"dropping-particle":"","family":"White","given":"Kimberly G.","non-dropping-particle":"","parse-names":false,"suffix":""},{"dropping-particle":"","family":"Lopez","given":"Carolina","non-dropping-particle":"","parse-names":false,"suffix":""},{"dropping-particle":"","family":"Bosio","given":"Catharine M.","non-dropping-particle":"","parse-names":false,"suffix":""},{"dropping-particle":"","family":"Karkhoff-Schweizer","given":"RoxAnn R","non-dropping-particle":"","parse-names":false,"suffix":""},{"dropping-particle":"","family":"Schweizer","given":"Herbert P.","non-dropping-particle":"","parse-names":false,"suffix":""}],"container-title":"Nature Methods","id":"ITEM-1","issue":"6","issued":{"date-parts":[["2005","6","20"]]},"page":"443-448","title":"A Tn7-based broad-range bacterial cloning and expression system","type":"article-journal","volume":"2"},"uris":["http://www.mendeley.com/documents/?uuid=db6a243b-a2be-40e5-b597-d8d236ba98e9"]}],"mendeley":{"formattedCitation":"(Choi et al., 2005)","plainTextFormattedCitation":"(Choi et al., 2005)","previouslyFormattedCitation":"(Choi et al., 2005)"},"properties":{"noteIndex":0},"schema":"https://github.com/citation-style-language/schema/raw/master/csl-citation.json"}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(Choi et al., 2005)</w:t>
            </w:r>
            <w:r w:rsidRPr="00D31BEA">
              <w:rPr>
                <w:rFonts w:ascii="Arial" w:hAnsi="Arial" w:cs="Arial"/>
                <w:color w:val="000000" w:themeColor="text1"/>
                <w:sz w:val="20"/>
                <w:szCs w:val="20"/>
                <w:lang w:val="en-US"/>
              </w:rPr>
              <w:fldChar w:fldCharType="end"/>
            </w:r>
            <w:r w:rsidRPr="00D31BEA">
              <w:rPr>
                <w:rFonts w:ascii="Arial" w:hAnsi="Arial" w:cs="Arial"/>
                <w:color w:val="000000" w:themeColor="text1"/>
                <w:sz w:val="20"/>
                <w:szCs w:val="20"/>
                <w:lang w:val="en-US"/>
              </w:rPr>
              <w:t>, Addgene #64969</w:t>
            </w:r>
          </w:p>
        </w:tc>
      </w:tr>
      <w:tr w:rsidR="006A39EA" w:rsidRPr="00D31BEA" w14:paraId="1B6D8196" w14:textId="77777777" w:rsidTr="00106EE0">
        <w:tc>
          <w:tcPr>
            <w:tcW w:w="1528" w:type="dxa"/>
          </w:tcPr>
          <w:p w14:paraId="69B9AE7C" w14:textId="77777777" w:rsidR="006A39EA" w:rsidRPr="00D31BEA" w:rsidRDefault="006A39EA" w:rsidP="00106EE0">
            <w:pPr>
              <w:rPr>
                <w:rFonts w:ascii="Arial" w:hAnsi="Arial" w:cs="Arial"/>
                <w:color w:val="000000" w:themeColor="text1"/>
                <w:sz w:val="20"/>
                <w:szCs w:val="20"/>
                <w:lang w:val="en-US"/>
              </w:rPr>
            </w:pPr>
            <w:r w:rsidRPr="00D31BEA">
              <w:rPr>
                <w:rFonts w:ascii="Arial" w:hAnsi="Arial" w:cs="Arial"/>
                <w:color w:val="000000" w:themeColor="text1"/>
                <w:sz w:val="20"/>
                <w:szCs w:val="20"/>
                <w:lang w:val="en-US"/>
              </w:rPr>
              <w:t>pTNS2</w:t>
            </w:r>
          </w:p>
          <w:p w14:paraId="1367A8C9" w14:textId="77777777" w:rsidR="006A39EA" w:rsidRPr="00D31BEA" w:rsidRDefault="006A39EA" w:rsidP="00106EE0">
            <w:pPr>
              <w:spacing w:after="160"/>
              <w:contextualSpacing/>
              <w:jc w:val="both"/>
              <w:rPr>
                <w:rFonts w:ascii="Arial" w:hAnsi="Arial" w:cs="Arial"/>
                <w:color w:val="000000" w:themeColor="text1"/>
                <w:sz w:val="20"/>
                <w:szCs w:val="20"/>
                <w:lang w:val="en-US"/>
              </w:rPr>
            </w:pPr>
          </w:p>
        </w:tc>
        <w:tc>
          <w:tcPr>
            <w:tcW w:w="5271" w:type="dxa"/>
          </w:tcPr>
          <w:p w14:paraId="0AC2F1CD" w14:textId="77777777" w:rsidR="006A39EA" w:rsidRPr="00D31BEA" w:rsidRDefault="006A39EA" w:rsidP="00106EE0">
            <w:pPr>
              <w:rPr>
                <w:color w:val="000000" w:themeColor="text1"/>
                <w:lang w:val="en-US"/>
              </w:rPr>
            </w:pPr>
            <w:r w:rsidRPr="00D31BEA">
              <w:rPr>
                <w:rFonts w:ascii="Arial" w:hAnsi="Arial" w:cs="Arial"/>
                <w:color w:val="000000" w:themeColor="text1"/>
                <w:sz w:val="20"/>
                <w:szCs w:val="20"/>
                <w:lang w:val="en-US"/>
              </w:rPr>
              <w:t>R6K ori, plasmid for transposase (</w:t>
            </w:r>
            <w:r w:rsidRPr="00D31BEA">
              <w:rPr>
                <w:rFonts w:ascii="Arial" w:hAnsi="Arial" w:cs="Arial"/>
                <w:i/>
                <w:color w:val="000000" w:themeColor="text1"/>
                <w:sz w:val="20"/>
                <w:szCs w:val="20"/>
                <w:shd w:val="clear" w:color="auto" w:fill="FFFFFF"/>
                <w:lang w:val="en-US"/>
              </w:rPr>
              <w:t>tnsABCD</w:t>
            </w:r>
            <w:r w:rsidRPr="00D31BEA">
              <w:rPr>
                <w:rFonts w:ascii="Arial" w:hAnsi="Arial" w:cs="Arial"/>
                <w:color w:val="000000" w:themeColor="text1"/>
                <w:sz w:val="20"/>
                <w:szCs w:val="20"/>
                <w:lang w:val="en-US"/>
              </w:rPr>
              <w:t>) expression, Amp</w:t>
            </w:r>
            <w:r w:rsidRPr="00D31BEA">
              <w:rPr>
                <w:rFonts w:ascii="Arial" w:hAnsi="Arial" w:cs="Arial"/>
                <w:color w:val="000000" w:themeColor="text1"/>
                <w:sz w:val="20"/>
                <w:szCs w:val="20"/>
                <w:vertAlign w:val="superscript"/>
                <w:lang w:val="en-US"/>
              </w:rPr>
              <w:t>R</w:t>
            </w:r>
            <w:r w:rsidRPr="00D31BEA">
              <w:rPr>
                <w:rFonts w:ascii="Arial" w:hAnsi="Arial" w:cs="Arial"/>
                <w:color w:val="000000" w:themeColor="text1"/>
                <w:sz w:val="20"/>
                <w:szCs w:val="20"/>
                <w:lang w:val="en-US"/>
              </w:rPr>
              <w:t>.</w:t>
            </w:r>
          </w:p>
        </w:tc>
        <w:tc>
          <w:tcPr>
            <w:tcW w:w="2217" w:type="dxa"/>
          </w:tcPr>
          <w:p w14:paraId="73C30396"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fldChar w:fldCharType="begin" w:fldLock="1"/>
            </w:r>
            <w:r w:rsidRPr="00D31BEA">
              <w:rPr>
                <w:rFonts w:ascii="Arial" w:hAnsi="Arial" w:cs="Arial"/>
                <w:color w:val="000000" w:themeColor="text1"/>
                <w:sz w:val="20"/>
                <w:szCs w:val="20"/>
                <w:lang w:val="en-US"/>
              </w:rPr>
              <w:instrText>ADDIN CSL_CITATION {"citationItems":[{"id":"ITEM-1","itemData":{"DOI":"10.1038/nmeth765","ISSN":"1548-7091","PMID":"15908923","abstract":"For many bacteria, cloning and expression systems are either scarce or nonexistent. We constructed several mini-Tn7 vectors and evaluated their potential as broad-range cloning and expression systems. In bacteria with a single chromosome, including Pseudomonas aeruginosa, Pseudomonas putida and Yersinia pestis, and in the presence of a helper plasmid encoding the site-specific transposition pathway, site- and orientation-specific Tn7 insertions occurred at a single attTn7 site downstream of the glmS gene. Burkholderia thailandensis contains two chromosomes, each containing a glmS gene and an attTn7 site. The Tn7 system allows engineering of diverse genetic traits into bacteria, as demonstrated by complementing a biofilm-growth defect of P. aeruginosa, establishing expression systems in P. aeruginosa and P. putida, and 'GFP-tagging' Y. pestis. This system will thus have widespread biomedical and environmental applications, especially in environments where plasmids and antibiotic selection are not feasible, namely in plant and animal models or biofilms.","author":[{"dropping-particle":"","family":"Choi","given":"Kyoung-Hee","non-dropping-particle":"","parse-names":false,"suffix":""},{"dropping-particle":"","family":"Gaynor","given":"Jared B.","non-dropping-particle":"","parse-names":false,"suffix":""},{"dropping-particle":"","family":"White","given":"Kimberly G.","non-dropping-particle":"","parse-names":false,"suffix":""},{"dropping-particle":"","family":"Lopez","given":"Carolina","non-dropping-particle":"","parse-names":false,"suffix":""},{"dropping-particle":"","family":"Bosio","given":"Catharine M.","non-dropping-particle":"","parse-names":false,"suffix":""},{"dropping-particle":"","family":"Karkhoff-Schweizer","given":"RoxAnn R","non-dropping-particle":"","parse-names":false,"suffix":""},{"dropping-particle":"","family":"Schweizer","given":"Herbert P.","non-dropping-particle":"","parse-names":false,"suffix":""}],"container-title":"Nature Methods","id":"ITEM-1","issue":"6","issued":{"date-parts":[["2005","6","20"]]},"page":"443-448","title":"A Tn7-based broad-range bacterial cloning and expression system","type":"article-journal","volume":"2"},"uris":["http://www.mendeley.com/documents/?uuid=db6a243b-a2be-40e5-b597-d8d236ba98e9"]}],"mendeley":{"formattedCitation":"(Choi et al., 2005)","plainTextFormattedCitation":"(Choi et al., 2005)","previouslyFormattedCitation":"(Choi et al., 2005)"},"properties":{"noteIndex":0},"schema":"https://github.com/citation-style-language/schema/raw/master/csl-citation.json"}</w:instrText>
            </w:r>
            <w:r w:rsidRPr="00D31BEA">
              <w:rPr>
                <w:rFonts w:ascii="Arial" w:hAnsi="Arial" w:cs="Arial"/>
                <w:color w:val="000000" w:themeColor="text1"/>
                <w:sz w:val="20"/>
                <w:szCs w:val="20"/>
                <w:lang w:val="en-US"/>
              </w:rPr>
              <w:fldChar w:fldCharType="separate"/>
            </w:r>
            <w:r w:rsidRPr="00D31BEA">
              <w:rPr>
                <w:rFonts w:ascii="Arial" w:hAnsi="Arial" w:cs="Arial"/>
                <w:noProof/>
                <w:color w:val="000000" w:themeColor="text1"/>
                <w:sz w:val="20"/>
                <w:szCs w:val="20"/>
                <w:lang w:val="en-US"/>
              </w:rPr>
              <w:t>(Choi et al., 2005)</w:t>
            </w:r>
            <w:r w:rsidRPr="00D31BEA">
              <w:rPr>
                <w:rFonts w:ascii="Arial" w:hAnsi="Arial" w:cs="Arial"/>
                <w:color w:val="000000" w:themeColor="text1"/>
                <w:sz w:val="20"/>
                <w:szCs w:val="20"/>
                <w:lang w:val="en-US"/>
              </w:rPr>
              <w:fldChar w:fldCharType="end"/>
            </w:r>
            <w:r w:rsidRPr="00D31BEA">
              <w:rPr>
                <w:rFonts w:ascii="Arial" w:hAnsi="Arial" w:cs="Arial"/>
                <w:color w:val="000000" w:themeColor="text1"/>
                <w:sz w:val="20"/>
                <w:szCs w:val="20"/>
                <w:lang w:val="en-US"/>
              </w:rPr>
              <w:t>, Addgene #64968</w:t>
            </w:r>
          </w:p>
        </w:tc>
      </w:tr>
      <w:tr w:rsidR="006A39EA" w:rsidRPr="00D31BEA" w14:paraId="4891FEAF" w14:textId="77777777" w:rsidTr="00106EE0">
        <w:tc>
          <w:tcPr>
            <w:tcW w:w="1528" w:type="dxa"/>
          </w:tcPr>
          <w:p w14:paraId="53112724" w14:textId="77777777" w:rsidR="006A39EA" w:rsidRPr="00D31BEA" w:rsidRDefault="006A39EA" w:rsidP="00106EE0">
            <w:pPr>
              <w:spacing w:after="160"/>
              <w:contextualSpacing/>
              <w:jc w:val="both"/>
              <w:rPr>
                <w:rFonts w:ascii="Arial" w:hAnsi="Arial" w:cs="Arial"/>
                <w:color w:val="000000" w:themeColor="text1"/>
                <w:sz w:val="20"/>
                <w:szCs w:val="20"/>
                <w:lang w:val="en-US"/>
              </w:rPr>
            </w:pPr>
            <w:r w:rsidRPr="00D31BEA">
              <w:rPr>
                <w:rFonts w:ascii="Arial" w:hAnsi="Arial" w:cs="Arial"/>
                <w:color w:val="000000" w:themeColor="text1"/>
                <w:sz w:val="20"/>
                <w:szCs w:val="20"/>
                <w:lang w:val="en-US"/>
              </w:rPr>
              <w:t>pNUT2674</w:t>
            </w:r>
          </w:p>
        </w:tc>
        <w:tc>
          <w:tcPr>
            <w:tcW w:w="5271" w:type="dxa"/>
          </w:tcPr>
          <w:p w14:paraId="54176D23" w14:textId="77777777" w:rsidR="006A39EA" w:rsidRPr="00D31BEA" w:rsidRDefault="006A39EA" w:rsidP="00106EE0">
            <w:pPr>
              <w:rPr>
                <w:rFonts w:ascii="Arial" w:hAnsi="Arial" w:cs="Arial"/>
                <w:color w:val="000000" w:themeColor="text1"/>
                <w:sz w:val="20"/>
                <w:szCs w:val="20"/>
                <w:lang w:val="en-US"/>
              </w:rPr>
            </w:pPr>
            <w:r w:rsidRPr="00D31BEA">
              <w:rPr>
                <w:rFonts w:ascii="Arial" w:hAnsi="Arial" w:cs="Arial"/>
                <w:color w:val="000000" w:themeColor="text1"/>
                <w:sz w:val="20"/>
                <w:szCs w:val="20"/>
                <w:lang w:val="en-US"/>
              </w:rPr>
              <w:t>pKD4 backbone, P</w:t>
            </w:r>
            <w:r w:rsidRPr="00D31BEA">
              <w:rPr>
                <w:rFonts w:ascii="Arial" w:hAnsi="Arial" w:cs="Arial"/>
                <w:i/>
                <w:iCs/>
                <w:color w:val="000000" w:themeColor="text1"/>
                <w:sz w:val="20"/>
                <w:szCs w:val="20"/>
                <w:vertAlign w:val="subscript"/>
                <w:lang w:val="en-US"/>
              </w:rPr>
              <w:t>tac</w:t>
            </w:r>
            <w:r w:rsidRPr="00D31BEA">
              <w:rPr>
                <w:rFonts w:ascii="Arial" w:hAnsi="Arial" w:cs="Arial"/>
                <w:i/>
                <w:iCs/>
                <w:color w:val="000000" w:themeColor="text1"/>
                <w:sz w:val="20"/>
                <w:szCs w:val="20"/>
                <w:lang w:val="en-US"/>
              </w:rPr>
              <w:t>-sfgfp</w:t>
            </w:r>
            <w:r w:rsidRPr="00D31BEA">
              <w:rPr>
                <w:rFonts w:ascii="Arial" w:hAnsi="Arial" w:cs="Arial"/>
                <w:color w:val="000000" w:themeColor="text1"/>
                <w:sz w:val="20"/>
                <w:szCs w:val="20"/>
                <w:lang w:val="en-US"/>
              </w:rPr>
              <w:t xml:space="preserve">(ASV), coding for an unstable superfolder GFP with the </w:t>
            </w:r>
            <w:r w:rsidRPr="00D31BEA">
              <w:rPr>
                <w:rFonts w:ascii="Helvetica" w:hAnsi="Helvetica"/>
                <w:color w:val="000000" w:themeColor="text1"/>
                <w:sz w:val="20"/>
                <w:szCs w:val="20"/>
                <w:shd w:val="clear" w:color="auto" w:fill="FFFFFF"/>
                <w:lang w:val="en-US"/>
              </w:rPr>
              <w:t>AANDENYAASV</w:t>
            </w:r>
            <w:r w:rsidRPr="00D31BEA">
              <w:rPr>
                <w:rFonts w:ascii="Arial" w:hAnsi="Arial" w:cs="Arial"/>
                <w:color w:val="000000" w:themeColor="text1"/>
                <w:sz w:val="20"/>
                <w:szCs w:val="20"/>
                <w:lang w:val="en-US"/>
              </w:rPr>
              <w:t xml:space="preserve">-tag. </w:t>
            </w:r>
          </w:p>
        </w:tc>
        <w:tc>
          <w:tcPr>
            <w:tcW w:w="2217" w:type="dxa"/>
          </w:tcPr>
          <w:p w14:paraId="21C2C87C"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t>This study</w:t>
            </w:r>
          </w:p>
        </w:tc>
      </w:tr>
      <w:tr w:rsidR="006A39EA" w:rsidRPr="00D31BEA" w14:paraId="5FBE96D6" w14:textId="77777777" w:rsidTr="00106EE0">
        <w:tc>
          <w:tcPr>
            <w:tcW w:w="1528" w:type="dxa"/>
          </w:tcPr>
          <w:p w14:paraId="23E45DE9" w14:textId="77777777" w:rsidR="006A39EA" w:rsidRPr="00D31BEA" w:rsidRDefault="006A39EA" w:rsidP="00106EE0">
            <w:pPr>
              <w:spacing w:after="160"/>
              <w:contextualSpacing/>
              <w:jc w:val="both"/>
              <w:rPr>
                <w:rFonts w:ascii="Arial" w:hAnsi="Arial" w:cs="Arial"/>
                <w:color w:val="000000" w:themeColor="text1"/>
                <w:sz w:val="20"/>
                <w:szCs w:val="20"/>
                <w:lang w:val="en-US"/>
              </w:rPr>
            </w:pPr>
            <w:r w:rsidRPr="00D31BEA">
              <w:rPr>
                <w:rFonts w:ascii="Arial" w:hAnsi="Arial" w:cs="Arial"/>
                <w:color w:val="000000" w:themeColor="text1"/>
                <w:sz w:val="20"/>
                <w:szCs w:val="20"/>
                <w:lang w:val="en-US"/>
              </w:rPr>
              <w:t>pNUT2787</w:t>
            </w:r>
          </w:p>
        </w:tc>
        <w:tc>
          <w:tcPr>
            <w:tcW w:w="5271" w:type="dxa"/>
          </w:tcPr>
          <w:p w14:paraId="0AF3816C" w14:textId="77777777" w:rsidR="006A39EA" w:rsidRPr="00D31BEA" w:rsidRDefault="006A39EA" w:rsidP="00106EE0">
            <w:pPr>
              <w:rPr>
                <w:rFonts w:ascii="Arial" w:hAnsi="Arial" w:cs="Arial"/>
                <w:color w:val="000000" w:themeColor="text1"/>
                <w:sz w:val="20"/>
                <w:szCs w:val="20"/>
                <w:lang w:val="en-US"/>
              </w:rPr>
            </w:pPr>
            <w:r w:rsidRPr="00D31BEA">
              <w:rPr>
                <w:rFonts w:ascii="Arial" w:hAnsi="Arial" w:cs="Arial"/>
                <w:color w:val="000000" w:themeColor="text1"/>
                <w:sz w:val="20"/>
                <w:szCs w:val="20"/>
                <w:lang w:val="en-US"/>
              </w:rPr>
              <w:t>pUC18R6KT-mini-Tn7-Km backbone. Tn5 neomycin phosphotransferase cassette replaced by a chloramphenicol acetyl transferase cassette</w:t>
            </w:r>
          </w:p>
        </w:tc>
        <w:tc>
          <w:tcPr>
            <w:tcW w:w="2217" w:type="dxa"/>
          </w:tcPr>
          <w:p w14:paraId="3AB8D48A"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t>This study</w:t>
            </w:r>
          </w:p>
        </w:tc>
      </w:tr>
      <w:tr w:rsidR="006A39EA" w:rsidRPr="00D31BEA" w14:paraId="09EFC091" w14:textId="77777777" w:rsidTr="00106EE0">
        <w:tc>
          <w:tcPr>
            <w:tcW w:w="1528" w:type="dxa"/>
          </w:tcPr>
          <w:p w14:paraId="2DAD6E61" w14:textId="77777777" w:rsidR="006A39EA" w:rsidRPr="00D31BEA" w:rsidRDefault="006A39EA" w:rsidP="00106EE0">
            <w:pPr>
              <w:spacing w:after="160"/>
              <w:contextualSpacing/>
              <w:jc w:val="both"/>
              <w:rPr>
                <w:rFonts w:ascii="Arial" w:hAnsi="Arial" w:cs="Arial"/>
                <w:color w:val="000000" w:themeColor="text1"/>
                <w:sz w:val="20"/>
                <w:szCs w:val="20"/>
                <w:lang w:val="en-US"/>
              </w:rPr>
            </w:pPr>
            <w:r w:rsidRPr="00D31BEA">
              <w:rPr>
                <w:rFonts w:ascii="Arial" w:hAnsi="Arial" w:cs="Arial"/>
                <w:color w:val="000000" w:themeColor="text1"/>
                <w:sz w:val="20"/>
                <w:szCs w:val="20"/>
                <w:lang w:val="en-US"/>
              </w:rPr>
              <w:t>pNUT2838</w:t>
            </w:r>
          </w:p>
        </w:tc>
        <w:tc>
          <w:tcPr>
            <w:tcW w:w="5271" w:type="dxa"/>
          </w:tcPr>
          <w:p w14:paraId="71704285" w14:textId="77777777" w:rsidR="006A39EA" w:rsidRPr="00D31BEA" w:rsidRDefault="006A39EA" w:rsidP="00106EE0">
            <w:pPr>
              <w:rPr>
                <w:rFonts w:ascii="Arial" w:hAnsi="Arial" w:cs="Arial"/>
                <w:color w:val="000000" w:themeColor="text1"/>
                <w:sz w:val="20"/>
                <w:szCs w:val="20"/>
                <w:lang w:val="en-US"/>
              </w:rPr>
            </w:pPr>
            <w:r w:rsidRPr="00D31BEA">
              <w:rPr>
                <w:rFonts w:ascii="Arial" w:hAnsi="Arial" w:cs="Arial"/>
                <w:color w:val="000000" w:themeColor="text1"/>
                <w:sz w:val="20"/>
                <w:szCs w:val="20"/>
                <w:lang w:val="en-US"/>
              </w:rPr>
              <w:t>pNUT2787 backbone. P</w:t>
            </w:r>
            <w:r w:rsidRPr="00D31BEA">
              <w:rPr>
                <w:rFonts w:ascii="Arial" w:hAnsi="Arial" w:cs="Arial"/>
                <w:i/>
                <w:iCs/>
                <w:color w:val="000000" w:themeColor="text1"/>
                <w:sz w:val="20"/>
                <w:szCs w:val="20"/>
                <w:vertAlign w:val="subscript"/>
                <w:lang w:val="en-US"/>
              </w:rPr>
              <w:t>tac</w:t>
            </w:r>
            <w:r w:rsidRPr="00D31BEA">
              <w:rPr>
                <w:rFonts w:ascii="Arial" w:hAnsi="Arial" w:cs="Arial"/>
                <w:i/>
                <w:iCs/>
                <w:color w:val="000000" w:themeColor="text1"/>
                <w:sz w:val="20"/>
                <w:szCs w:val="20"/>
                <w:lang w:val="en-US"/>
              </w:rPr>
              <w:t>-sfgfp</w:t>
            </w:r>
            <w:r w:rsidRPr="00D31BEA">
              <w:rPr>
                <w:rFonts w:ascii="Arial" w:hAnsi="Arial" w:cs="Arial"/>
                <w:color w:val="000000" w:themeColor="text1"/>
                <w:sz w:val="20"/>
                <w:szCs w:val="20"/>
                <w:lang w:val="en-US"/>
              </w:rPr>
              <w:t xml:space="preserve">(ASV), coding for an unstable superfolder GFP with the </w:t>
            </w:r>
            <w:r w:rsidRPr="00D31BEA">
              <w:rPr>
                <w:rFonts w:ascii="Helvetica" w:hAnsi="Helvetica"/>
                <w:color w:val="000000" w:themeColor="text1"/>
                <w:sz w:val="20"/>
                <w:szCs w:val="20"/>
                <w:shd w:val="clear" w:color="auto" w:fill="FFFFFF"/>
                <w:lang w:val="en-US"/>
              </w:rPr>
              <w:t>AANDENYAASV-</w:t>
            </w:r>
            <w:r w:rsidRPr="00D31BEA">
              <w:rPr>
                <w:rFonts w:ascii="Arial" w:hAnsi="Arial" w:cs="Arial"/>
                <w:color w:val="000000" w:themeColor="text1"/>
                <w:sz w:val="20"/>
                <w:szCs w:val="20"/>
                <w:lang w:val="en-US"/>
              </w:rPr>
              <w:t xml:space="preserve">tag, placed between </w:t>
            </w:r>
            <w:r w:rsidRPr="00D31BEA">
              <w:rPr>
                <w:rFonts w:ascii="Arial" w:hAnsi="Arial" w:cs="Arial"/>
                <w:i/>
                <w:color w:val="000000" w:themeColor="text1"/>
                <w:sz w:val="20"/>
                <w:szCs w:val="20"/>
                <w:lang w:val="en-US"/>
              </w:rPr>
              <w:t>Tn7L</w:t>
            </w:r>
            <w:r w:rsidRPr="00D31BEA">
              <w:rPr>
                <w:rFonts w:ascii="Arial" w:hAnsi="Arial" w:cs="Arial"/>
                <w:color w:val="000000" w:themeColor="text1"/>
                <w:sz w:val="20"/>
                <w:szCs w:val="20"/>
                <w:lang w:val="en-US"/>
              </w:rPr>
              <w:t xml:space="preserve"> and </w:t>
            </w:r>
            <w:r w:rsidRPr="00D31BEA">
              <w:rPr>
                <w:rFonts w:ascii="Arial" w:hAnsi="Arial" w:cs="Arial"/>
                <w:i/>
                <w:color w:val="000000" w:themeColor="text1"/>
                <w:sz w:val="20"/>
                <w:szCs w:val="20"/>
                <w:lang w:val="en-US"/>
              </w:rPr>
              <w:t>Tn7R</w:t>
            </w:r>
            <w:r w:rsidRPr="00D31BEA">
              <w:rPr>
                <w:rFonts w:ascii="Arial" w:hAnsi="Arial" w:cs="Arial"/>
                <w:color w:val="000000" w:themeColor="text1"/>
                <w:sz w:val="20"/>
                <w:szCs w:val="20"/>
                <w:lang w:val="en-US"/>
              </w:rPr>
              <w:t xml:space="preserve"> sites.</w:t>
            </w:r>
          </w:p>
        </w:tc>
        <w:tc>
          <w:tcPr>
            <w:tcW w:w="2217" w:type="dxa"/>
          </w:tcPr>
          <w:p w14:paraId="7AB4ECDC" w14:textId="77777777" w:rsidR="006A39EA" w:rsidRPr="00D31BEA" w:rsidRDefault="006A39EA" w:rsidP="00106EE0">
            <w:pPr>
              <w:spacing w:after="160"/>
              <w:contextualSpacing/>
              <w:rPr>
                <w:rFonts w:ascii="Arial" w:hAnsi="Arial" w:cs="Arial"/>
                <w:color w:val="000000" w:themeColor="text1"/>
                <w:sz w:val="20"/>
                <w:szCs w:val="20"/>
                <w:lang w:val="en-US"/>
              </w:rPr>
            </w:pPr>
            <w:r w:rsidRPr="00D31BEA">
              <w:rPr>
                <w:rFonts w:ascii="Arial" w:hAnsi="Arial" w:cs="Arial"/>
                <w:color w:val="000000" w:themeColor="text1"/>
                <w:sz w:val="20"/>
                <w:szCs w:val="20"/>
                <w:lang w:val="en-US"/>
              </w:rPr>
              <w:t>This study</w:t>
            </w:r>
          </w:p>
        </w:tc>
      </w:tr>
    </w:tbl>
    <w:p w14:paraId="7E9F8A56" w14:textId="77777777" w:rsidR="006A39EA" w:rsidRDefault="006A39EA"/>
    <w:sectPr w:rsidR="006A39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A"/>
    <w:rsid w:val="006A39EA"/>
    <w:rsid w:val="007B673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8DA0"/>
  <w15:chartTrackingRefBased/>
  <w15:docId w15:val="{C893FB1A-1ED7-F741-B451-7BBD7D2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9EA"/>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39EA"/>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14262</Characters>
  <Application>Microsoft Office Word</Application>
  <DocSecurity>0</DocSecurity>
  <Lines>118</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Díaz</dc:creator>
  <cp:keywords/>
  <dc:description/>
  <cp:lastModifiedBy>Knut Drescher</cp:lastModifiedBy>
  <cp:revision>2</cp:revision>
  <dcterms:created xsi:type="dcterms:W3CDTF">2021-10-01T07:09:00Z</dcterms:created>
  <dcterms:modified xsi:type="dcterms:W3CDTF">2021-10-04T07:43:00Z</dcterms:modified>
</cp:coreProperties>
</file>