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A2076" w14:textId="452FF69E" w:rsidR="006A39EA" w:rsidRDefault="006A39EA" w:rsidP="006A39EA">
      <w:pPr>
        <w:spacing w:after="160"/>
        <w:contextualSpacing/>
        <w:rPr>
          <w:rFonts w:ascii="Arial" w:hAnsi="Arial" w:cs="Arial"/>
          <w:b/>
          <w:sz w:val="20"/>
          <w:szCs w:val="20"/>
          <w:lang w:val="en-US"/>
        </w:rPr>
      </w:pPr>
      <w:r>
        <w:rPr>
          <w:rFonts w:ascii="Arial" w:hAnsi="Arial" w:cs="Arial"/>
          <w:b/>
          <w:sz w:val="20"/>
          <w:szCs w:val="20"/>
          <w:lang w:val="en-US"/>
        </w:rPr>
        <w:t>Supplementary File 2</w:t>
      </w:r>
      <w:r w:rsidRPr="00D31BEA">
        <w:rPr>
          <w:rFonts w:ascii="Arial" w:hAnsi="Arial" w:cs="Arial"/>
          <w:b/>
          <w:sz w:val="20"/>
          <w:szCs w:val="20"/>
          <w:lang w:val="en-US"/>
        </w:rPr>
        <w:t xml:space="preserve">: Plasmids used in this study. </w:t>
      </w:r>
      <w:r w:rsidRPr="00D31BEA">
        <w:rPr>
          <w:rFonts w:ascii="Arial" w:hAnsi="Arial" w:cs="Arial"/>
          <w:color w:val="000000" w:themeColor="text1"/>
          <w:sz w:val="20"/>
          <w:szCs w:val="20"/>
          <w:lang w:val="en-US"/>
        </w:rPr>
        <w:t xml:space="preserve">Abbreviations: Kan = kanamycin, Amp = ampicillin, </w:t>
      </w:r>
      <w:r w:rsidRPr="00D31BEA">
        <w:rPr>
          <w:rFonts w:ascii="Arial" w:hAnsi="Arial" w:cs="Arial"/>
          <w:sz w:val="20"/>
          <w:szCs w:val="20"/>
          <w:lang w:val="en-US"/>
        </w:rPr>
        <w:t xml:space="preserve">Chl </w:t>
      </w:r>
      <w:r w:rsidRPr="00D31BEA">
        <w:rPr>
          <w:rFonts w:ascii="Arial" w:hAnsi="Arial" w:cs="Arial"/>
          <w:color w:val="000000" w:themeColor="text1"/>
          <w:sz w:val="20"/>
          <w:szCs w:val="20"/>
          <w:lang w:val="en-US"/>
        </w:rPr>
        <w:t>= chloramphenicol. Superscript “R” = resistance. “-“ = fusion.</w:t>
      </w:r>
      <w:r w:rsidRPr="00D31BEA">
        <w:rPr>
          <w:rFonts w:ascii="Arial" w:hAnsi="Arial" w:cs="Arial"/>
          <w:b/>
          <w:sz w:val="20"/>
          <w:szCs w:val="20"/>
          <w:lang w:val="en-US"/>
        </w:rPr>
        <w:t xml:space="preserve"> </w:t>
      </w:r>
    </w:p>
    <w:p w14:paraId="5C14E66F" w14:textId="77777777" w:rsidR="007B6731" w:rsidRPr="00D31BEA" w:rsidRDefault="007B6731" w:rsidP="006A39EA">
      <w:pPr>
        <w:spacing w:after="160"/>
        <w:contextualSpacing/>
        <w:rPr>
          <w:rFonts w:ascii="Arial" w:hAnsi="Arial" w:cs="Arial"/>
          <w:b/>
          <w:sz w:val="20"/>
          <w:szCs w:val="20"/>
          <w:lang w:val="en-US"/>
        </w:rPr>
      </w:pPr>
      <w:bookmarkStart w:id="0" w:name="_GoBack"/>
      <w:bookmarkEnd w:id="0"/>
    </w:p>
    <w:tbl>
      <w:tblPr>
        <w:tblStyle w:val="Tabellenraster"/>
        <w:tblW w:w="0" w:type="auto"/>
        <w:tblLook w:val="04A0" w:firstRow="1" w:lastRow="0" w:firstColumn="1" w:lastColumn="0" w:noHBand="0" w:noVBand="1"/>
      </w:tblPr>
      <w:tblGrid>
        <w:gridCol w:w="1528"/>
        <w:gridCol w:w="5271"/>
        <w:gridCol w:w="2217"/>
      </w:tblGrid>
      <w:tr w:rsidR="006A39EA" w:rsidRPr="00D31BEA" w14:paraId="14617F28" w14:textId="77777777" w:rsidTr="00106EE0">
        <w:tc>
          <w:tcPr>
            <w:tcW w:w="1528" w:type="dxa"/>
          </w:tcPr>
          <w:p w14:paraId="789BF54E" w14:textId="77777777" w:rsidR="006A39EA" w:rsidRPr="00D31BEA" w:rsidRDefault="006A39EA" w:rsidP="00106EE0">
            <w:pPr>
              <w:spacing w:after="160"/>
              <w:contextualSpacing/>
              <w:jc w:val="both"/>
              <w:rPr>
                <w:rFonts w:ascii="Arial" w:hAnsi="Arial" w:cs="Arial"/>
                <w:b/>
                <w:color w:val="000000" w:themeColor="text1"/>
                <w:sz w:val="20"/>
                <w:szCs w:val="20"/>
                <w:lang w:val="en-US"/>
              </w:rPr>
            </w:pPr>
            <w:r w:rsidRPr="00D31BEA">
              <w:rPr>
                <w:rFonts w:ascii="Arial" w:hAnsi="Arial" w:cs="Arial"/>
                <w:b/>
                <w:color w:val="000000" w:themeColor="text1"/>
                <w:sz w:val="20"/>
                <w:szCs w:val="20"/>
                <w:lang w:val="en-US"/>
              </w:rPr>
              <w:t>Plasmid</w:t>
            </w:r>
          </w:p>
        </w:tc>
        <w:tc>
          <w:tcPr>
            <w:tcW w:w="5271" w:type="dxa"/>
            <w:shd w:val="clear" w:color="auto" w:fill="auto"/>
          </w:tcPr>
          <w:p w14:paraId="121EA924" w14:textId="77777777" w:rsidR="006A39EA" w:rsidRPr="00D31BEA" w:rsidRDefault="006A39EA" w:rsidP="00106EE0">
            <w:pPr>
              <w:spacing w:after="160"/>
              <w:contextualSpacing/>
              <w:jc w:val="both"/>
              <w:rPr>
                <w:rFonts w:ascii="Arial" w:hAnsi="Arial" w:cs="Arial"/>
                <w:b/>
                <w:color w:val="000000" w:themeColor="text1"/>
                <w:sz w:val="20"/>
                <w:szCs w:val="20"/>
                <w:lang w:val="en-US"/>
              </w:rPr>
            </w:pPr>
            <w:r w:rsidRPr="00D31BEA">
              <w:rPr>
                <w:rFonts w:ascii="Arial" w:hAnsi="Arial" w:cs="Arial"/>
                <w:b/>
                <w:color w:val="000000" w:themeColor="text1"/>
                <w:sz w:val="20"/>
                <w:szCs w:val="20"/>
                <w:lang w:val="en-US"/>
              </w:rPr>
              <w:t>Genotype/ Relevant features</w:t>
            </w:r>
          </w:p>
        </w:tc>
        <w:tc>
          <w:tcPr>
            <w:tcW w:w="2217" w:type="dxa"/>
          </w:tcPr>
          <w:p w14:paraId="3D4B7F5A" w14:textId="77777777" w:rsidR="006A39EA" w:rsidRPr="00D31BEA" w:rsidRDefault="006A39EA" w:rsidP="00106EE0">
            <w:pPr>
              <w:spacing w:after="160"/>
              <w:contextualSpacing/>
              <w:jc w:val="both"/>
              <w:rPr>
                <w:rFonts w:ascii="Arial" w:hAnsi="Arial" w:cs="Arial"/>
                <w:b/>
                <w:color w:val="000000" w:themeColor="text1"/>
                <w:sz w:val="20"/>
                <w:szCs w:val="20"/>
                <w:lang w:val="en-US"/>
              </w:rPr>
            </w:pPr>
            <w:r w:rsidRPr="00D31BEA">
              <w:rPr>
                <w:rFonts w:ascii="Arial" w:hAnsi="Arial" w:cs="Arial"/>
                <w:b/>
                <w:color w:val="000000" w:themeColor="text1"/>
                <w:sz w:val="20"/>
                <w:szCs w:val="20"/>
                <w:lang w:val="en-US"/>
              </w:rPr>
              <w:t>Reference</w:t>
            </w:r>
          </w:p>
        </w:tc>
      </w:tr>
      <w:tr w:rsidR="006A39EA" w:rsidRPr="00D31BEA" w14:paraId="3A8DBF4C" w14:textId="77777777" w:rsidTr="00106EE0">
        <w:tc>
          <w:tcPr>
            <w:tcW w:w="1528" w:type="dxa"/>
          </w:tcPr>
          <w:p w14:paraId="7B57E4BD" w14:textId="77777777" w:rsidR="006A39EA" w:rsidRPr="00D31BEA" w:rsidRDefault="006A39EA" w:rsidP="00106EE0">
            <w:pPr>
              <w:spacing w:after="160"/>
              <w:contextualSpacing/>
              <w:jc w:val="both"/>
              <w:rPr>
                <w:rFonts w:ascii="Arial" w:hAnsi="Arial" w:cs="Arial"/>
                <w:b/>
                <w:color w:val="000000" w:themeColor="text1"/>
                <w:sz w:val="20"/>
                <w:szCs w:val="20"/>
                <w:lang w:val="en-US"/>
              </w:rPr>
            </w:pPr>
            <w:r w:rsidRPr="00D31BEA">
              <w:rPr>
                <w:rFonts w:ascii="Arial" w:hAnsi="Arial" w:cs="Arial"/>
                <w:color w:val="000000" w:themeColor="text1"/>
                <w:sz w:val="20"/>
                <w:szCs w:val="20"/>
                <w:lang w:val="en-US"/>
              </w:rPr>
              <w:t>pKD3</w:t>
            </w:r>
          </w:p>
        </w:tc>
        <w:tc>
          <w:tcPr>
            <w:tcW w:w="5271" w:type="dxa"/>
            <w:shd w:val="clear" w:color="auto" w:fill="auto"/>
          </w:tcPr>
          <w:p w14:paraId="75EF243D" w14:textId="77777777" w:rsidR="006A39EA" w:rsidRPr="00D31BEA" w:rsidRDefault="006A39EA" w:rsidP="00106EE0">
            <w:pPr>
              <w:spacing w:after="160"/>
              <w:contextualSpacing/>
              <w:jc w:val="both"/>
              <w:rPr>
                <w:rFonts w:ascii="Arial" w:hAnsi="Arial" w:cs="Arial"/>
                <w:b/>
                <w:color w:val="000000" w:themeColor="text1"/>
                <w:sz w:val="20"/>
                <w:szCs w:val="20"/>
                <w:lang w:val="en-US"/>
              </w:rPr>
            </w:pPr>
            <w:r w:rsidRPr="00D31BEA">
              <w:rPr>
                <w:rFonts w:ascii="Arial" w:hAnsi="Arial" w:cs="Arial"/>
                <w:color w:val="000000" w:themeColor="text1"/>
                <w:sz w:val="20"/>
                <w:szCs w:val="20"/>
                <w:lang w:val="en-US"/>
              </w:rPr>
              <w:t>R6K ori, chloramphenicol acetyl transferase cassette</w:t>
            </w:r>
            <w:r w:rsidRPr="00D31BEA">
              <w:rPr>
                <w:rFonts w:ascii="Arial" w:hAnsi="Arial" w:cs="Arial"/>
                <w:i/>
                <w:color w:val="000000" w:themeColor="text1"/>
                <w:sz w:val="20"/>
                <w:szCs w:val="20"/>
                <w:lang w:val="en-US"/>
              </w:rPr>
              <w:t xml:space="preserve"> </w:t>
            </w:r>
            <w:r w:rsidRPr="00D31BEA">
              <w:rPr>
                <w:rFonts w:ascii="Arial" w:hAnsi="Arial" w:cs="Arial"/>
                <w:color w:val="000000" w:themeColor="text1"/>
                <w:sz w:val="20"/>
                <w:szCs w:val="20"/>
                <w:lang w:val="en-US"/>
              </w:rPr>
              <w:t>flanked</w:t>
            </w:r>
            <w:r w:rsidRPr="00D31BEA">
              <w:rPr>
                <w:rFonts w:ascii="Arial" w:hAnsi="Arial" w:cs="Arial"/>
                <w:i/>
                <w:color w:val="000000" w:themeColor="text1"/>
                <w:sz w:val="20"/>
                <w:szCs w:val="20"/>
                <w:lang w:val="en-US"/>
              </w:rPr>
              <w:t xml:space="preserve"> by frt</w:t>
            </w:r>
            <w:r w:rsidRPr="00D31BEA">
              <w:rPr>
                <w:rFonts w:ascii="Arial" w:hAnsi="Arial" w:cs="Arial"/>
                <w:color w:val="000000" w:themeColor="text1"/>
                <w:sz w:val="20"/>
                <w:szCs w:val="20"/>
                <w:lang w:val="en-US"/>
              </w:rPr>
              <w:t>, Amp</w:t>
            </w:r>
            <w:r w:rsidRPr="00D31BEA">
              <w:rPr>
                <w:rFonts w:ascii="Arial" w:hAnsi="Arial" w:cs="Arial"/>
                <w:color w:val="000000" w:themeColor="text1"/>
                <w:sz w:val="20"/>
                <w:szCs w:val="20"/>
                <w:vertAlign w:val="superscript"/>
                <w:lang w:val="en-US"/>
              </w:rPr>
              <w:t>R</w:t>
            </w:r>
            <w:r w:rsidRPr="00D31BEA">
              <w:rPr>
                <w:rFonts w:ascii="Arial" w:hAnsi="Arial" w:cs="Arial"/>
                <w:color w:val="000000" w:themeColor="text1"/>
                <w:sz w:val="20"/>
                <w:szCs w:val="20"/>
                <w:shd w:val="clear" w:color="auto" w:fill="FFFFFF"/>
                <w:lang w:val="en-US"/>
              </w:rPr>
              <w:t>.</w:t>
            </w:r>
          </w:p>
        </w:tc>
        <w:tc>
          <w:tcPr>
            <w:tcW w:w="2217" w:type="dxa"/>
          </w:tcPr>
          <w:p w14:paraId="724E227B" w14:textId="77777777" w:rsidR="006A39EA" w:rsidRPr="00D31BEA" w:rsidRDefault="006A39EA" w:rsidP="00106EE0">
            <w:pPr>
              <w:spacing w:after="160"/>
              <w:contextualSpacing/>
              <w:rPr>
                <w:rFonts w:ascii="Arial" w:hAnsi="Arial" w:cs="Arial"/>
                <w:b/>
                <w:color w:val="000000" w:themeColor="text1"/>
                <w:sz w:val="20"/>
                <w:szCs w:val="20"/>
                <w:lang w:val="en-US"/>
              </w:rPr>
            </w:pPr>
            <w:r w:rsidRPr="00D31BEA">
              <w:rPr>
                <w:rFonts w:ascii="Arial" w:hAnsi="Arial" w:cs="Arial"/>
                <w:color w:val="000000" w:themeColor="text1"/>
                <w:sz w:val="20"/>
                <w:szCs w:val="20"/>
                <w:lang w:val="en-US"/>
              </w:rPr>
              <w:fldChar w:fldCharType="begin" w:fldLock="1"/>
            </w:r>
            <w:r w:rsidRPr="00D31BEA">
              <w:rPr>
                <w:rFonts w:ascii="Arial" w:hAnsi="Arial" w:cs="Arial"/>
                <w:color w:val="000000" w:themeColor="text1"/>
                <w:sz w:val="20"/>
                <w:szCs w:val="20"/>
                <w:lang w:val="en-US"/>
              </w:rPr>
              <w:instrText>ADDIN CSL_CITATION {"citationItems":[{"id":"ITEM-1","itemData":{"DOI":"10.1073/pnas.120163297","ISSN":"0027-8424","PMID":"10829079","abstract":"We have developed a simple and highly efficient method to disrupt chromosomal genes in Escherichia coli in which PCR primers provide the homology to the targeted gene(s). In this procedure, recombination requires the phage lambda Red recombinase, which is synthesized under the control of an inducible promoter on an easily curable, low copy number plasmid. To demonstrate the utility of this approach, we generated PCR products by using primers with 36- to 50-nt extensions that are homologous to regions adjacent to the gene to be inactivated and template plasmids carrying antibiotic resistance genes that are flanked by FRT (FLP recognition target) sites. By using the respective PCR products, we made 13 different disruptions of chromosomal genes. Mutants of the arcB, cyaA, lacZYA, ompR-envZ, phnR, pstB, pstCA, pstS, pstSCAB-phoU, recA, and torSTRCAD genes or operons were isolated as antibiotic-resistant colonies after the introduction into bacteria carrying a Red expression plasmid of synthetic (PCR-generated) DNA. The resistance genes were then eliminated by using a helper plasmid encoding the FLP recombinase which is also easily curable. This procedure should be widely useful, especially in genome analysis of E. coli and other bacteria because the procedure can be done in wild-type cells.","author":[{"dropping-particle":"","family":"Datsenko","given":"Kirill A.","non-dropping-particle":"","parse-names":false,"suffix":""},{"dropping-particle":"","family":"Wanner","given":"Barry L.","non-dropping-particle":"","parse-names":false,"suffix":""}],"container-title":"Proceedings of the National Academy of Sciences of the United States of America","id":"ITEM-1","issue":"12","issued":{"date-parts":[["2000","6","6"]]},"page":"6640-5","title":"One-step inactivation of chromosomal genes in Escherichia coli K-12 using PCR products.","type":"article-journal","volume":"97"},"uris":["http://www.mendeley.com/documents/?uuid=79c174e6-3231-47c8-bf21-b097641f148f"]}],"mendeley":{"formattedCitation":"(Datsenko &amp; Wanner, 2000)","plainTextFormattedCitation":"(Datsenko &amp; Wanner, 2000)","previouslyFormattedCitation":"(Datsenko &amp; Wanner, 2000)"},"properties":{"noteIndex":0},"schema":"https://github.com/citation-style-language/schema/raw/master/csl-citation.json"}</w:instrText>
            </w:r>
            <w:r w:rsidRPr="00D31BEA">
              <w:rPr>
                <w:rFonts w:ascii="Arial" w:hAnsi="Arial" w:cs="Arial"/>
                <w:color w:val="000000" w:themeColor="text1"/>
                <w:sz w:val="20"/>
                <w:szCs w:val="20"/>
                <w:lang w:val="en-US"/>
              </w:rPr>
              <w:fldChar w:fldCharType="separate"/>
            </w:r>
            <w:r w:rsidRPr="00D31BEA">
              <w:rPr>
                <w:rFonts w:ascii="Arial" w:hAnsi="Arial" w:cs="Arial"/>
                <w:noProof/>
                <w:color w:val="000000" w:themeColor="text1"/>
                <w:sz w:val="20"/>
                <w:szCs w:val="20"/>
                <w:lang w:val="en-US"/>
              </w:rPr>
              <w:t>(Datsenko &amp; Wanner, 2000)</w:t>
            </w:r>
            <w:r w:rsidRPr="00D31BEA">
              <w:rPr>
                <w:rFonts w:ascii="Arial" w:hAnsi="Arial" w:cs="Arial"/>
                <w:color w:val="000000" w:themeColor="text1"/>
                <w:sz w:val="20"/>
                <w:szCs w:val="20"/>
                <w:lang w:val="en-US"/>
              </w:rPr>
              <w:fldChar w:fldCharType="end"/>
            </w:r>
          </w:p>
        </w:tc>
      </w:tr>
      <w:tr w:rsidR="006A39EA" w:rsidRPr="00D31BEA" w14:paraId="02AF05BD" w14:textId="77777777" w:rsidTr="00106EE0">
        <w:tc>
          <w:tcPr>
            <w:tcW w:w="1528" w:type="dxa"/>
          </w:tcPr>
          <w:p w14:paraId="6AF08EC3" w14:textId="77777777" w:rsidR="006A39EA" w:rsidRPr="00D31BEA" w:rsidRDefault="006A39EA" w:rsidP="00106EE0">
            <w:pPr>
              <w:spacing w:after="160"/>
              <w:contextualSpacing/>
              <w:jc w:val="both"/>
              <w:rPr>
                <w:rFonts w:ascii="Arial" w:hAnsi="Arial" w:cs="Arial"/>
                <w:b/>
                <w:color w:val="000000" w:themeColor="text1"/>
                <w:sz w:val="20"/>
                <w:szCs w:val="20"/>
                <w:lang w:val="en-US"/>
              </w:rPr>
            </w:pPr>
            <w:r w:rsidRPr="00D31BEA">
              <w:rPr>
                <w:rFonts w:ascii="Arial" w:hAnsi="Arial" w:cs="Arial"/>
                <w:color w:val="000000" w:themeColor="text1"/>
                <w:sz w:val="20"/>
                <w:szCs w:val="20"/>
                <w:lang w:val="en-US"/>
              </w:rPr>
              <w:t>pKD4</w:t>
            </w:r>
          </w:p>
        </w:tc>
        <w:tc>
          <w:tcPr>
            <w:tcW w:w="5271" w:type="dxa"/>
            <w:shd w:val="clear" w:color="auto" w:fill="auto"/>
          </w:tcPr>
          <w:p w14:paraId="29A1CBF9" w14:textId="77777777" w:rsidR="006A39EA" w:rsidRPr="00D31BEA" w:rsidRDefault="006A39EA" w:rsidP="00106EE0">
            <w:pPr>
              <w:spacing w:after="160"/>
              <w:contextualSpacing/>
              <w:jc w:val="both"/>
              <w:rPr>
                <w:rFonts w:ascii="Arial" w:hAnsi="Arial" w:cs="Arial"/>
                <w:b/>
                <w:color w:val="000000" w:themeColor="text1"/>
                <w:sz w:val="20"/>
                <w:szCs w:val="20"/>
                <w:lang w:val="en-US"/>
              </w:rPr>
            </w:pPr>
            <w:r w:rsidRPr="00D31BEA">
              <w:rPr>
                <w:rFonts w:ascii="Arial" w:hAnsi="Arial" w:cs="Arial"/>
                <w:color w:val="000000" w:themeColor="text1"/>
                <w:sz w:val="20"/>
                <w:szCs w:val="20"/>
                <w:lang w:val="en-US"/>
              </w:rPr>
              <w:t>R6K ori,</w:t>
            </w:r>
            <w:r w:rsidRPr="00D31BEA">
              <w:rPr>
                <w:rFonts w:ascii="Arial" w:hAnsi="Arial" w:cs="Arial"/>
                <w:i/>
                <w:color w:val="000000" w:themeColor="text1"/>
                <w:sz w:val="20"/>
                <w:szCs w:val="20"/>
                <w:lang w:val="en-US"/>
              </w:rPr>
              <w:t xml:space="preserve"> T</w:t>
            </w:r>
            <w:r w:rsidRPr="00D31BEA">
              <w:rPr>
                <w:rFonts w:ascii="Arial" w:hAnsi="Arial" w:cs="Arial"/>
                <w:color w:val="000000" w:themeColor="text1"/>
                <w:sz w:val="20"/>
                <w:szCs w:val="20"/>
                <w:lang w:val="en-US"/>
              </w:rPr>
              <w:t>n5 neomycin phosphotransferase cassette flanked</w:t>
            </w:r>
            <w:r w:rsidRPr="00D31BEA">
              <w:rPr>
                <w:rFonts w:ascii="Arial" w:hAnsi="Arial" w:cs="Arial"/>
                <w:i/>
                <w:color w:val="000000" w:themeColor="text1"/>
                <w:sz w:val="20"/>
                <w:szCs w:val="20"/>
                <w:lang w:val="en-US"/>
              </w:rPr>
              <w:t xml:space="preserve"> by frt</w:t>
            </w:r>
            <w:r w:rsidRPr="00D31BEA">
              <w:rPr>
                <w:rFonts w:ascii="Arial" w:hAnsi="Arial" w:cs="Arial"/>
                <w:color w:val="000000" w:themeColor="text1"/>
                <w:sz w:val="20"/>
                <w:szCs w:val="20"/>
                <w:lang w:val="en-US"/>
              </w:rPr>
              <w:t>, Amp</w:t>
            </w:r>
            <w:r w:rsidRPr="00D31BEA">
              <w:rPr>
                <w:rFonts w:ascii="Arial" w:hAnsi="Arial" w:cs="Arial"/>
                <w:color w:val="000000" w:themeColor="text1"/>
                <w:sz w:val="20"/>
                <w:szCs w:val="20"/>
                <w:vertAlign w:val="superscript"/>
                <w:lang w:val="en-US"/>
              </w:rPr>
              <w:t>R</w:t>
            </w:r>
            <w:r w:rsidRPr="00D31BEA">
              <w:rPr>
                <w:rFonts w:ascii="Arial" w:hAnsi="Arial" w:cs="Arial"/>
                <w:color w:val="000000" w:themeColor="text1"/>
                <w:sz w:val="20"/>
                <w:szCs w:val="20"/>
                <w:shd w:val="clear" w:color="auto" w:fill="FFFFFF"/>
                <w:lang w:val="en-US"/>
              </w:rPr>
              <w:t>.</w:t>
            </w:r>
          </w:p>
        </w:tc>
        <w:tc>
          <w:tcPr>
            <w:tcW w:w="2217" w:type="dxa"/>
          </w:tcPr>
          <w:p w14:paraId="3F1AD01F" w14:textId="77777777" w:rsidR="006A39EA" w:rsidRPr="00D31BEA" w:rsidRDefault="006A39EA" w:rsidP="00106EE0">
            <w:pPr>
              <w:spacing w:after="160"/>
              <w:contextualSpacing/>
              <w:rPr>
                <w:rFonts w:ascii="Arial" w:hAnsi="Arial" w:cs="Arial"/>
                <w:b/>
                <w:color w:val="000000" w:themeColor="text1"/>
                <w:sz w:val="20"/>
                <w:szCs w:val="20"/>
                <w:lang w:val="en-US"/>
              </w:rPr>
            </w:pPr>
            <w:r w:rsidRPr="00D31BEA">
              <w:rPr>
                <w:rFonts w:ascii="Arial" w:hAnsi="Arial" w:cs="Arial"/>
                <w:color w:val="000000" w:themeColor="text1"/>
                <w:sz w:val="20"/>
                <w:szCs w:val="20"/>
                <w:lang w:val="en-US"/>
              </w:rPr>
              <w:fldChar w:fldCharType="begin" w:fldLock="1"/>
            </w:r>
            <w:r w:rsidRPr="00D31BEA">
              <w:rPr>
                <w:rFonts w:ascii="Arial" w:hAnsi="Arial" w:cs="Arial"/>
                <w:color w:val="000000" w:themeColor="text1"/>
                <w:sz w:val="20"/>
                <w:szCs w:val="20"/>
                <w:lang w:val="en-US"/>
              </w:rPr>
              <w:instrText>ADDIN CSL_CITATION {"citationItems":[{"id":"ITEM-1","itemData":{"DOI":"10.1073/pnas.120163297","ISSN":"0027-8424","PMID":"10829079","abstract":"We have developed a simple and highly efficient method to disrupt chromosomal genes in Escherichia coli in which PCR primers provide the homology to the targeted gene(s). In this procedure, recombination requires the phage lambda Red recombinase, which is synthesized under the control of an inducible promoter on an easily curable, low copy number plasmid. To demonstrate the utility of this approach, we generated PCR products by using primers with 36- to 50-nt extensions that are homologous to regions adjacent to the gene to be inactivated and template plasmids carrying antibiotic resistance genes that are flanked by FRT (FLP recognition target) sites. By using the respective PCR products, we made 13 different disruptions of chromosomal genes. Mutants of the arcB, cyaA, lacZYA, ompR-envZ, phnR, pstB, pstCA, pstS, pstSCAB-phoU, recA, and torSTRCAD genes or operons were isolated as antibiotic-resistant colonies after the introduction into bacteria carrying a Red expression plasmid of synthetic (PCR-generated) DNA. The resistance genes were then eliminated by using a helper plasmid encoding the FLP recombinase which is also easily curable. This procedure should be widely useful, especially in genome analysis of E. coli and other bacteria because the procedure can be done in wild-type cells.","author":[{"dropping-particle":"","family":"Datsenko","given":"Kirill A.","non-dropping-particle":"","parse-names":false,"suffix":""},{"dropping-particle":"","family":"Wanner","given":"Barry L.","non-dropping-particle":"","parse-names":false,"suffix":""}],"container-title":"Proceedings of the National Academy of Sciences of the United States of America","id":"ITEM-1","issue":"12","issued":{"date-parts":[["2000","6","6"]]},"page":"6640-5","title":"One-step inactivation of chromosomal genes in Escherichia coli K-12 using PCR products.","type":"article-journal","volume":"97"},"uris":["http://www.mendeley.com/documents/?uuid=79c174e6-3231-47c8-bf21-b097641f148f"]}],"mendeley":{"formattedCitation":"(Datsenko &amp; Wanner, 2000)","plainTextFormattedCitation":"(Datsenko &amp; Wanner, 2000)","previouslyFormattedCitation":"(Datsenko &amp; Wanner, 2000)"},"properties":{"noteIndex":0},"schema":"https://github.com/citation-style-language/schema/raw/master/csl-citation.json"}</w:instrText>
            </w:r>
            <w:r w:rsidRPr="00D31BEA">
              <w:rPr>
                <w:rFonts w:ascii="Arial" w:hAnsi="Arial" w:cs="Arial"/>
                <w:color w:val="000000" w:themeColor="text1"/>
                <w:sz w:val="20"/>
                <w:szCs w:val="20"/>
                <w:lang w:val="en-US"/>
              </w:rPr>
              <w:fldChar w:fldCharType="separate"/>
            </w:r>
            <w:r w:rsidRPr="00D31BEA">
              <w:rPr>
                <w:rFonts w:ascii="Arial" w:hAnsi="Arial" w:cs="Arial"/>
                <w:noProof/>
                <w:color w:val="000000" w:themeColor="text1"/>
                <w:sz w:val="20"/>
                <w:szCs w:val="20"/>
                <w:lang w:val="en-US"/>
              </w:rPr>
              <w:t>(Datsenko &amp; Wanner, 2000)</w:t>
            </w:r>
            <w:r w:rsidRPr="00D31BEA">
              <w:rPr>
                <w:rFonts w:ascii="Arial" w:hAnsi="Arial" w:cs="Arial"/>
                <w:color w:val="000000" w:themeColor="text1"/>
                <w:sz w:val="20"/>
                <w:szCs w:val="20"/>
                <w:lang w:val="en-US"/>
              </w:rPr>
              <w:fldChar w:fldCharType="end"/>
            </w:r>
          </w:p>
        </w:tc>
      </w:tr>
      <w:tr w:rsidR="006A39EA" w:rsidRPr="00D31BEA" w14:paraId="677C6818" w14:textId="77777777" w:rsidTr="00106EE0">
        <w:tc>
          <w:tcPr>
            <w:tcW w:w="1528" w:type="dxa"/>
          </w:tcPr>
          <w:p w14:paraId="0F7BDA49" w14:textId="77777777" w:rsidR="006A39EA" w:rsidRPr="00D31BEA" w:rsidRDefault="006A39EA" w:rsidP="00106EE0">
            <w:pPr>
              <w:spacing w:after="160"/>
              <w:contextualSpacing/>
              <w:jc w:val="both"/>
              <w:rPr>
                <w:rFonts w:ascii="Arial" w:hAnsi="Arial" w:cs="Arial"/>
                <w:b/>
                <w:color w:val="000000" w:themeColor="text1"/>
                <w:sz w:val="20"/>
                <w:szCs w:val="20"/>
                <w:lang w:val="en-US"/>
              </w:rPr>
            </w:pPr>
            <w:r w:rsidRPr="00D31BEA">
              <w:rPr>
                <w:rFonts w:ascii="Arial" w:hAnsi="Arial" w:cs="Arial"/>
                <w:color w:val="000000" w:themeColor="text1"/>
                <w:sz w:val="20"/>
                <w:szCs w:val="20"/>
                <w:lang w:val="en-US"/>
              </w:rPr>
              <w:t>pKD46</w:t>
            </w:r>
          </w:p>
        </w:tc>
        <w:tc>
          <w:tcPr>
            <w:tcW w:w="5271" w:type="dxa"/>
            <w:shd w:val="clear" w:color="auto" w:fill="auto"/>
          </w:tcPr>
          <w:p w14:paraId="1D71E5F6" w14:textId="77777777" w:rsidR="006A39EA" w:rsidRPr="00D31BEA" w:rsidRDefault="006A39EA" w:rsidP="00106EE0">
            <w:pPr>
              <w:spacing w:after="160"/>
              <w:contextualSpacing/>
              <w:jc w:val="both"/>
              <w:rPr>
                <w:rFonts w:ascii="Arial" w:hAnsi="Arial" w:cs="Arial"/>
                <w:b/>
                <w:color w:val="000000" w:themeColor="text1"/>
                <w:sz w:val="20"/>
                <w:szCs w:val="20"/>
                <w:lang w:val="en-US"/>
              </w:rPr>
            </w:pPr>
            <w:r w:rsidRPr="00D31BEA">
              <w:rPr>
                <w:rFonts w:ascii="Arial" w:hAnsi="Arial" w:cs="Arial"/>
                <w:color w:val="000000" w:themeColor="text1"/>
                <w:sz w:val="20"/>
                <w:szCs w:val="20"/>
                <w:shd w:val="clear" w:color="auto" w:fill="FFFFFF"/>
                <w:lang w:val="en-US"/>
              </w:rPr>
              <w:t xml:space="preserve">Temperature sensitive replication origin oriR101, </w:t>
            </w:r>
            <w:r w:rsidRPr="00D31BEA">
              <w:rPr>
                <w:rFonts w:ascii="Arial" w:hAnsi="Arial" w:cs="Arial"/>
                <w:iCs/>
                <w:color w:val="000000" w:themeColor="text1"/>
                <w:sz w:val="20"/>
                <w:szCs w:val="20"/>
                <w:lang w:val="en-US"/>
              </w:rPr>
              <w:t>arabinose-inducible lambda recombinase genes</w:t>
            </w:r>
            <w:r w:rsidRPr="00D31BEA">
              <w:rPr>
                <w:rFonts w:ascii="Arial" w:hAnsi="Arial" w:cs="Arial"/>
                <w:i/>
                <w:iCs/>
                <w:color w:val="000000" w:themeColor="text1"/>
                <w:sz w:val="20"/>
                <w:szCs w:val="20"/>
                <w:lang w:val="en-US"/>
              </w:rPr>
              <w:t>,</w:t>
            </w:r>
            <w:r w:rsidRPr="00D31BEA">
              <w:rPr>
                <w:rFonts w:ascii="Arial" w:hAnsi="Arial" w:cs="Arial"/>
                <w:color w:val="000000" w:themeColor="text1"/>
                <w:sz w:val="20"/>
                <w:szCs w:val="20"/>
                <w:shd w:val="clear" w:color="auto" w:fill="FFFFFF"/>
                <w:lang w:val="en-US"/>
              </w:rPr>
              <w:t xml:space="preserve"> Amp</w:t>
            </w:r>
            <w:r w:rsidRPr="00D31BEA">
              <w:rPr>
                <w:rFonts w:ascii="Arial" w:hAnsi="Arial" w:cs="Arial"/>
                <w:color w:val="000000" w:themeColor="text1"/>
                <w:sz w:val="20"/>
                <w:szCs w:val="20"/>
                <w:shd w:val="clear" w:color="auto" w:fill="FFFFFF"/>
                <w:vertAlign w:val="superscript"/>
                <w:lang w:val="en-US"/>
              </w:rPr>
              <w:t>R</w:t>
            </w:r>
            <w:r w:rsidRPr="00D31BEA">
              <w:rPr>
                <w:rFonts w:ascii="Arial" w:hAnsi="Arial" w:cs="Arial"/>
                <w:color w:val="000000" w:themeColor="text1"/>
                <w:sz w:val="20"/>
                <w:szCs w:val="20"/>
                <w:shd w:val="clear" w:color="auto" w:fill="FFFFFF"/>
                <w:lang w:val="en-US"/>
              </w:rPr>
              <w:t>.</w:t>
            </w:r>
          </w:p>
        </w:tc>
        <w:tc>
          <w:tcPr>
            <w:tcW w:w="2217" w:type="dxa"/>
          </w:tcPr>
          <w:p w14:paraId="358FC4C4" w14:textId="77777777" w:rsidR="006A39EA" w:rsidRPr="00D31BEA" w:rsidRDefault="006A39EA" w:rsidP="00106EE0">
            <w:pPr>
              <w:spacing w:after="160"/>
              <w:contextualSpacing/>
              <w:rPr>
                <w:rFonts w:ascii="Arial" w:hAnsi="Arial" w:cs="Arial"/>
                <w:b/>
                <w:color w:val="000000" w:themeColor="text1"/>
                <w:sz w:val="20"/>
                <w:szCs w:val="20"/>
                <w:lang w:val="en-US"/>
              </w:rPr>
            </w:pPr>
            <w:r w:rsidRPr="00D31BEA">
              <w:rPr>
                <w:rFonts w:ascii="Arial" w:hAnsi="Arial" w:cs="Arial"/>
                <w:color w:val="000000" w:themeColor="text1"/>
                <w:sz w:val="20"/>
                <w:szCs w:val="20"/>
                <w:lang w:val="en-US"/>
              </w:rPr>
              <w:fldChar w:fldCharType="begin" w:fldLock="1"/>
            </w:r>
            <w:r w:rsidRPr="00D31BEA">
              <w:rPr>
                <w:rFonts w:ascii="Arial" w:hAnsi="Arial" w:cs="Arial"/>
                <w:color w:val="000000" w:themeColor="text1"/>
                <w:sz w:val="20"/>
                <w:szCs w:val="20"/>
                <w:lang w:val="en-US"/>
              </w:rPr>
              <w:instrText>ADDIN CSL_CITATION {"citationItems":[{"id":"ITEM-1","itemData":{"DOI":"10.1073/pnas.120163297","ISSN":"0027-8424","PMID":"10829079","abstract":"We have developed a simple and highly efficient method to disrupt chromosomal genes in Escherichia coli in which PCR primers provide the homology to the targeted gene(s). In this procedure, recombination requires the phage lambda Red recombinase, which is synthesized under the control of an inducible promoter on an easily curable, low copy number plasmid. To demonstrate the utility of this approach, we generated PCR products by using primers with 36- to 50-nt extensions that are homologous to regions adjacent to the gene to be inactivated and template plasmids carrying antibiotic resistance genes that are flanked by FRT (FLP recognition target) sites. By using the respective PCR products, we made 13 different disruptions of chromosomal genes. Mutants of the arcB, cyaA, lacZYA, ompR-envZ, phnR, pstB, pstCA, pstS, pstSCAB-phoU, recA, and torSTRCAD genes or operons were isolated as antibiotic-resistant colonies after the introduction into bacteria carrying a Red expression plasmid of synthetic (PCR-generated) DNA. The resistance genes were then eliminated by using a helper plasmid encoding the FLP recombinase which is also easily curable. This procedure should be widely useful, especially in genome analysis of E. coli and other bacteria because the procedure can be done in wild-type cells.","author":[{"dropping-particle":"","family":"Datsenko","given":"Kirill A.","non-dropping-particle":"","parse-names":false,"suffix":""},{"dropping-particle":"","family":"Wanner","given":"Barry L.","non-dropping-particle":"","parse-names":false,"suffix":""}],"container-title":"Proceedings of the National Academy of Sciences of the United States of America","id":"ITEM-1","issue":"12","issued":{"date-parts":[["2000","6","6"]]},"page":"6640-5","title":"One-step inactivation of chromosomal genes in Escherichia coli K-12 using PCR products.","type":"article-journal","volume":"97"},"uris":["http://www.mendeley.com/documents/?uuid=79c174e6-3231-47c8-bf21-b097641f148f"]}],"mendeley":{"formattedCitation":"(Datsenko &amp; Wanner, 2000)","plainTextFormattedCitation":"(Datsenko &amp; Wanner, 2000)","previouslyFormattedCitation":"(Datsenko &amp; Wanner, 2000)"},"properties":{"noteIndex":0},"schema":"https://github.com/citation-style-language/schema/raw/master/csl-citation.json"}</w:instrText>
            </w:r>
            <w:r w:rsidRPr="00D31BEA">
              <w:rPr>
                <w:rFonts w:ascii="Arial" w:hAnsi="Arial" w:cs="Arial"/>
                <w:color w:val="000000" w:themeColor="text1"/>
                <w:sz w:val="20"/>
                <w:szCs w:val="20"/>
                <w:lang w:val="en-US"/>
              </w:rPr>
              <w:fldChar w:fldCharType="separate"/>
            </w:r>
            <w:r w:rsidRPr="00D31BEA">
              <w:rPr>
                <w:rFonts w:ascii="Arial" w:hAnsi="Arial" w:cs="Arial"/>
                <w:noProof/>
                <w:color w:val="000000" w:themeColor="text1"/>
                <w:sz w:val="20"/>
                <w:szCs w:val="20"/>
                <w:lang w:val="en-US"/>
              </w:rPr>
              <w:t>(Datsenko &amp; Wanner, 2000)</w:t>
            </w:r>
            <w:r w:rsidRPr="00D31BEA">
              <w:rPr>
                <w:rFonts w:ascii="Arial" w:hAnsi="Arial" w:cs="Arial"/>
                <w:color w:val="000000" w:themeColor="text1"/>
                <w:sz w:val="20"/>
                <w:szCs w:val="20"/>
                <w:lang w:val="en-US"/>
              </w:rPr>
              <w:fldChar w:fldCharType="end"/>
            </w:r>
          </w:p>
        </w:tc>
      </w:tr>
      <w:tr w:rsidR="006A39EA" w:rsidRPr="00D31BEA" w14:paraId="26313B54" w14:textId="77777777" w:rsidTr="00106EE0">
        <w:tc>
          <w:tcPr>
            <w:tcW w:w="1528" w:type="dxa"/>
          </w:tcPr>
          <w:p w14:paraId="2AB25934" w14:textId="77777777" w:rsidR="006A39EA" w:rsidRPr="00D31BEA" w:rsidRDefault="006A39EA" w:rsidP="00106EE0">
            <w:pPr>
              <w:spacing w:after="160"/>
              <w:contextualSpacing/>
              <w:jc w:val="both"/>
              <w:rPr>
                <w:rFonts w:ascii="Arial" w:hAnsi="Arial" w:cs="Arial"/>
                <w:b/>
                <w:color w:val="000000" w:themeColor="text1"/>
                <w:sz w:val="20"/>
                <w:szCs w:val="20"/>
                <w:lang w:val="en-US"/>
              </w:rPr>
            </w:pPr>
            <w:r w:rsidRPr="00D31BEA">
              <w:rPr>
                <w:rFonts w:ascii="Arial" w:hAnsi="Arial" w:cs="Arial"/>
                <w:color w:val="000000" w:themeColor="text1"/>
                <w:sz w:val="20"/>
                <w:szCs w:val="20"/>
                <w:lang w:val="en-US"/>
              </w:rPr>
              <w:t>pCP20</w:t>
            </w:r>
          </w:p>
        </w:tc>
        <w:tc>
          <w:tcPr>
            <w:tcW w:w="5271" w:type="dxa"/>
            <w:shd w:val="clear" w:color="auto" w:fill="auto"/>
          </w:tcPr>
          <w:p w14:paraId="1714FCBB" w14:textId="77777777" w:rsidR="006A39EA" w:rsidRPr="00D31BEA" w:rsidRDefault="006A39EA" w:rsidP="00106EE0">
            <w:pPr>
              <w:spacing w:after="160"/>
              <w:contextualSpacing/>
              <w:jc w:val="both"/>
              <w:rPr>
                <w:rFonts w:ascii="Arial" w:hAnsi="Arial" w:cs="Arial"/>
                <w:b/>
                <w:color w:val="000000" w:themeColor="text1"/>
                <w:sz w:val="20"/>
                <w:szCs w:val="20"/>
                <w:lang w:val="en-US"/>
              </w:rPr>
            </w:pPr>
            <w:r w:rsidRPr="00D31BEA">
              <w:rPr>
                <w:rFonts w:ascii="Arial" w:hAnsi="Arial" w:cs="Arial"/>
                <w:color w:val="000000" w:themeColor="text1"/>
                <w:sz w:val="20"/>
                <w:szCs w:val="20"/>
                <w:lang w:val="en-US"/>
              </w:rPr>
              <w:t xml:space="preserve">Temperature sensitive replication origin </w:t>
            </w:r>
            <w:r w:rsidRPr="00D31BEA">
              <w:rPr>
                <w:rFonts w:ascii="Arial" w:hAnsi="Arial" w:cs="Arial"/>
                <w:color w:val="000000" w:themeColor="text1"/>
                <w:sz w:val="20"/>
                <w:szCs w:val="20"/>
                <w:shd w:val="clear" w:color="auto" w:fill="FFFFFF"/>
                <w:lang w:val="en-US"/>
              </w:rPr>
              <w:t>oriR101</w:t>
            </w:r>
            <w:r w:rsidRPr="00D31BEA">
              <w:rPr>
                <w:rFonts w:ascii="Arial" w:hAnsi="Arial" w:cs="Arial"/>
                <w:color w:val="000000" w:themeColor="text1"/>
                <w:sz w:val="20"/>
                <w:szCs w:val="20"/>
                <w:lang w:val="en-US"/>
              </w:rPr>
              <w:t>, Flp recombinase gene, Chl</w:t>
            </w:r>
            <w:r w:rsidRPr="00D31BEA">
              <w:rPr>
                <w:rFonts w:ascii="Arial" w:hAnsi="Arial" w:cs="Arial"/>
                <w:color w:val="000000" w:themeColor="text1"/>
                <w:sz w:val="20"/>
                <w:szCs w:val="20"/>
                <w:vertAlign w:val="superscript"/>
                <w:lang w:val="en-US"/>
              </w:rPr>
              <w:t>R</w:t>
            </w:r>
            <w:r w:rsidRPr="00D31BEA">
              <w:rPr>
                <w:rFonts w:ascii="Arial" w:hAnsi="Arial" w:cs="Arial"/>
                <w:color w:val="000000" w:themeColor="text1"/>
                <w:sz w:val="20"/>
                <w:szCs w:val="20"/>
                <w:lang w:val="en-US"/>
              </w:rPr>
              <w:t>, Amp</w:t>
            </w:r>
            <w:r w:rsidRPr="00D31BEA">
              <w:rPr>
                <w:rFonts w:ascii="Arial" w:hAnsi="Arial" w:cs="Arial"/>
                <w:color w:val="000000" w:themeColor="text1"/>
                <w:sz w:val="20"/>
                <w:szCs w:val="20"/>
                <w:vertAlign w:val="superscript"/>
                <w:lang w:val="en-US"/>
              </w:rPr>
              <w:t>R</w:t>
            </w:r>
            <w:r w:rsidRPr="00D31BEA">
              <w:rPr>
                <w:rFonts w:ascii="Arial" w:hAnsi="Arial" w:cs="Arial"/>
                <w:color w:val="000000" w:themeColor="text1"/>
                <w:sz w:val="20"/>
                <w:szCs w:val="20"/>
                <w:shd w:val="clear" w:color="auto" w:fill="FFFFFF"/>
                <w:lang w:val="en-US"/>
              </w:rPr>
              <w:t>.</w:t>
            </w:r>
          </w:p>
        </w:tc>
        <w:tc>
          <w:tcPr>
            <w:tcW w:w="2217" w:type="dxa"/>
          </w:tcPr>
          <w:p w14:paraId="1B30476F" w14:textId="77777777" w:rsidR="006A39EA" w:rsidRPr="00D31BEA" w:rsidRDefault="006A39EA" w:rsidP="00106EE0">
            <w:pPr>
              <w:spacing w:after="160"/>
              <w:contextualSpacing/>
              <w:rPr>
                <w:rFonts w:ascii="Arial" w:hAnsi="Arial" w:cs="Arial"/>
                <w:b/>
                <w:color w:val="000000" w:themeColor="text1"/>
                <w:sz w:val="20"/>
                <w:szCs w:val="20"/>
                <w:lang w:val="en-US"/>
              </w:rPr>
            </w:pPr>
            <w:r w:rsidRPr="00D31BEA">
              <w:rPr>
                <w:rFonts w:ascii="Arial" w:hAnsi="Arial" w:cs="Arial"/>
                <w:color w:val="000000" w:themeColor="text1"/>
                <w:sz w:val="20"/>
                <w:szCs w:val="20"/>
                <w:lang w:val="en-US"/>
              </w:rPr>
              <w:fldChar w:fldCharType="begin" w:fldLock="1"/>
            </w:r>
            <w:r w:rsidRPr="00D31BEA">
              <w:rPr>
                <w:rFonts w:ascii="Arial" w:hAnsi="Arial" w:cs="Arial"/>
                <w:color w:val="000000" w:themeColor="text1"/>
                <w:sz w:val="20"/>
                <w:szCs w:val="20"/>
                <w:lang w:val="en-US"/>
              </w:rPr>
              <w:instrText>ADDIN CSL_CITATION {"citationItems":[{"id":"ITEM-1","itemData":{"DOI":"10.1016/0378-1119(95)00193-a","ISSN":"0378-1119","PMID":"7789817","abstract":"Two cassettes with tetracycline-resistance (TcR) and kanamycin-resistance (KmR) determinants have been developed for the construction of insertion and deletion mutants of cloned genes in Escherichia coli. In both cassettes, the resistance determinants are flanked by the short direct repeats (FRT sites) required for site-specific recombination mediated by the yeast Flp recombinase. In addition, a plasmid with temperature-sensitive replication for temporal production of the Flp enzyme in E. coli has been constructed. After a gene disruption or deletion mutation is constructed in vitro by insertion of one of the cassettes into a given gene, the mutated gene is transferred to the E. coli chromosome by homologous recombination and selection for the antibiotic resistance provided by the cassette. If desired, the resistance determinant can subsequently be removed from the chromosome in vivo by Flp action, leaving behind a short nucleotide sequence with one FRT site and with no polar effect on downstream genes. This system was applied in the construction of an E. coli endA deletion mutation which can be transduced by P1 to the genetic background of interest using TcR as a marker. The transductant can then be freed of the TcR if required.","author":[{"dropping-particle":"","family":"Cherepanov","given":"P P","non-dropping-particle":"","parse-names":false,"suffix":""},{"dropping-particle":"","family":"Wackernagel","given":"W","non-dropping-particle":"","parse-names":false,"suffix":""}],"container-title":"Gene","id":"ITEM-1","issue":"1","issued":{"date-parts":[["1995","5","26"]]},"page":"9-14","title":"Gene disruption in Escherichia coli: TcR and KmR cassettes with the option of Flp-catalyzed excision of the antibiotic-resistance determinant.","type":"article-journal","volume":"158"},"uris":["http://www.mendeley.com/documents/?uuid=7ada36e4-6db6-454f-98c3-11322dbe00a7"]}],"mendeley":{"formattedCitation":"(Cherepanov &amp; Wackernagel, 1995)","plainTextFormattedCitation":"(Cherepanov &amp; Wackernagel, 1995)","previouslyFormattedCitation":"(Cherepanov &amp; Wackernagel, 1995)"},"properties":{"noteIndex":0},"schema":"https://github.com/citation-style-language/schema/raw/master/csl-citation.json"}</w:instrText>
            </w:r>
            <w:r w:rsidRPr="00D31BEA">
              <w:rPr>
                <w:rFonts w:ascii="Arial" w:hAnsi="Arial" w:cs="Arial"/>
                <w:color w:val="000000" w:themeColor="text1"/>
                <w:sz w:val="20"/>
                <w:szCs w:val="20"/>
                <w:lang w:val="en-US"/>
              </w:rPr>
              <w:fldChar w:fldCharType="separate"/>
            </w:r>
            <w:r w:rsidRPr="00D31BEA">
              <w:rPr>
                <w:rFonts w:ascii="Arial" w:hAnsi="Arial" w:cs="Arial"/>
                <w:noProof/>
                <w:color w:val="000000" w:themeColor="text1"/>
                <w:sz w:val="20"/>
                <w:szCs w:val="20"/>
                <w:lang w:val="en-US"/>
              </w:rPr>
              <w:t>(Cherepanov &amp; Wackernagel, 1995)</w:t>
            </w:r>
            <w:r w:rsidRPr="00D31BEA">
              <w:rPr>
                <w:rFonts w:ascii="Arial" w:hAnsi="Arial" w:cs="Arial"/>
                <w:color w:val="000000" w:themeColor="text1"/>
                <w:sz w:val="20"/>
                <w:szCs w:val="20"/>
                <w:lang w:val="en-US"/>
              </w:rPr>
              <w:fldChar w:fldCharType="end"/>
            </w:r>
          </w:p>
        </w:tc>
      </w:tr>
      <w:tr w:rsidR="006A39EA" w:rsidRPr="00D31BEA" w14:paraId="752C61AF" w14:textId="77777777" w:rsidTr="00106EE0">
        <w:tc>
          <w:tcPr>
            <w:tcW w:w="1528" w:type="dxa"/>
          </w:tcPr>
          <w:p w14:paraId="49BDBC5D" w14:textId="77777777" w:rsidR="006A39EA" w:rsidRPr="00D31BEA" w:rsidRDefault="006A39EA" w:rsidP="00106EE0">
            <w:pPr>
              <w:spacing w:after="160"/>
              <w:contextualSpacing/>
              <w:jc w:val="both"/>
              <w:rPr>
                <w:rFonts w:ascii="Arial" w:hAnsi="Arial" w:cs="Arial"/>
                <w:color w:val="000000" w:themeColor="text1"/>
                <w:sz w:val="20"/>
                <w:szCs w:val="20"/>
                <w:lang w:val="en-US"/>
              </w:rPr>
            </w:pPr>
            <w:r w:rsidRPr="00D31BEA">
              <w:rPr>
                <w:rFonts w:ascii="Arial" w:hAnsi="Arial" w:cs="Arial"/>
                <w:color w:val="000000" w:themeColor="text1"/>
                <w:sz w:val="20"/>
                <w:szCs w:val="20"/>
                <w:lang w:val="en-US"/>
              </w:rPr>
              <w:t>pNUT1361</w:t>
            </w:r>
          </w:p>
        </w:tc>
        <w:tc>
          <w:tcPr>
            <w:tcW w:w="5271" w:type="dxa"/>
            <w:shd w:val="clear" w:color="auto" w:fill="auto"/>
          </w:tcPr>
          <w:p w14:paraId="0EF01421" w14:textId="77777777" w:rsidR="006A39EA" w:rsidRPr="00D31BEA" w:rsidRDefault="006A39EA" w:rsidP="00106EE0">
            <w:pPr>
              <w:spacing w:after="160"/>
              <w:contextualSpacing/>
              <w:jc w:val="both"/>
              <w:rPr>
                <w:rFonts w:ascii="Arial" w:hAnsi="Arial" w:cs="Arial"/>
                <w:color w:val="000000" w:themeColor="text1"/>
                <w:sz w:val="20"/>
                <w:szCs w:val="20"/>
                <w:lang w:val="en-US"/>
              </w:rPr>
            </w:pPr>
            <w:r w:rsidRPr="00D31BEA">
              <w:rPr>
                <w:rFonts w:ascii="Arial" w:hAnsi="Arial" w:cs="Arial"/>
                <w:color w:val="000000" w:themeColor="text1"/>
                <w:sz w:val="20"/>
                <w:szCs w:val="20"/>
                <w:lang w:val="en-US"/>
              </w:rPr>
              <w:t>pSC101*, Kan</w:t>
            </w:r>
            <w:r w:rsidRPr="00D31BEA">
              <w:rPr>
                <w:rFonts w:ascii="Arial" w:hAnsi="Arial" w:cs="Arial"/>
                <w:b/>
                <w:i/>
                <w:color w:val="000000" w:themeColor="text1"/>
                <w:sz w:val="20"/>
                <w:szCs w:val="20"/>
                <w:vertAlign w:val="superscript"/>
                <w:lang w:val="en-US"/>
              </w:rPr>
              <w:t>R</w:t>
            </w:r>
            <w:r w:rsidRPr="00D31BEA">
              <w:rPr>
                <w:rFonts w:ascii="Arial" w:hAnsi="Arial" w:cs="Arial"/>
                <w:b/>
                <w:i/>
                <w:color w:val="000000" w:themeColor="text1"/>
                <w:sz w:val="20"/>
                <w:szCs w:val="20"/>
                <w:lang w:val="en-US"/>
              </w:rPr>
              <w:t xml:space="preserve">, </w:t>
            </w:r>
            <w:r w:rsidRPr="00D31BEA">
              <w:rPr>
                <w:rFonts w:ascii="Arial" w:hAnsi="Arial" w:cs="Arial"/>
                <w:color w:val="000000" w:themeColor="text1"/>
                <w:sz w:val="20"/>
                <w:szCs w:val="20"/>
                <w:lang w:val="en-US"/>
              </w:rPr>
              <w:t>P</w:t>
            </w:r>
            <w:r w:rsidRPr="00D31BEA">
              <w:rPr>
                <w:rFonts w:ascii="Arial" w:hAnsi="Arial" w:cs="Arial"/>
                <w:i/>
                <w:iCs/>
                <w:color w:val="000000" w:themeColor="text1"/>
                <w:sz w:val="20"/>
                <w:szCs w:val="20"/>
                <w:vertAlign w:val="subscript"/>
                <w:lang w:val="en-US"/>
              </w:rPr>
              <w:t>tac</w:t>
            </w:r>
            <w:r w:rsidRPr="00D31BEA">
              <w:rPr>
                <w:rFonts w:ascii="Arial" w:hAnsi="Arial" w:cs="Arial"/>
                <w:i/>
                <w:iCs/>
                <w:color w:val="000000" w:themeColor="text1"/>
                <w:sz w:val="20"/>
                <w:szCs w:val="20"/>
                <w:lang w:val="en-US"/>
              </w:rPr>
              <w:t>-sfgfp</w:t>
            </w:r>
            <w:r w:rsidRPr="00D31BEA">
              <w:rPr>
                <w:rFonts w:ascii="Arial" w:hAnsi="Arial" w:cs="Arial"/>
                <w:color w:val="000000" w:themeColor="text1"/>
                <w:sz w:val="20"/>
                <w:szCs w:val="20"/>
                <w:shd w:val="clear" w:color="auto" w:fill="FFFFFF"/>
                <w:lang w:val="en-US"/>
              </w:rPr>
              <w:t>.</w:t>
            </w:r>
          </w:p>
        </w:tc>
        <w:tc>
          <w:tcPr>
            <w:tcW w:w="2217" w:type="dxa"/>
          </w:tcPr>
          <w:p w14:paraId="2B40EF63" w14:textId="77777777" w:rsidR="006A39EA" w:rsidRPr="00D31BEA" w:rsidRDefault="006A39EA" w:rsidP="00106EE0">
            <w:pPr>
              <w:spacing w:after="160"/>
              <w:contextualSpacing/>
              <w:rPr>
                <w:rFonts w:ascii="Arial" w:hAnsi="Arial" w:cs="Arial"/>
                <w:color w:val="000000" w:themeColor="text1"/>
                <w:sz w:val="20"/>
                <w:szCs w:val="20"/>
                <w:lang w:val="en-US"/>
              </w:rPr>
            </w:pPr>
            <w:r w:rsidRPr="00D31BEA">
              <w:rPr>
                <w:rFonts w:ascii="Arial" w:hAnsi="Arial" w:cs="Arial"/>
                <w:color w:val="000000" w:themeColor="text1"/>
                <w:sz w:val="20"/>
                <w:szCs w:val="20"/>
                <w:lang w:val="en-US"/>
              </w:rPr>
              <w:t>Drescher lab stock</w:t>
            </w:r>
          </w:p>
        </w:tc>
      </w:tr>
      <w:tr w:rsidR="006A39EA" w:rsidRPr="00D31BEA" w14:paraId="515821C8" w14:textId="77777777" w:rsidTr="00106EE0">
        <w:tc>
          <w:tcPr>
            <w:tcW w:w="1528" w:type="dxa"/>
          </w:tcPr>
          <w:p w14:paraId="42AC63AC" w14:textId="77777777" w:rsidR="006A39EA" w:rsidRPr="00D31BEA" w:rsidRDefault="006A39EA" w:rsidP="00106EE0">
            <w:pPr>
              <w:spacing w:after="160"/>
              <w:contextualSpacing/>
              <w:jc w:val="both"/>
              <w:rPr>
                <w:rFonts w:ascii="Arial" w:hAnsi="Arial" w:cs="Arial"/>
                <w:b/>
                <w:color w:val="000000" w:themeColor="text1"/>
                <w:sz w:val="20"/>
                <w:szCs w:val="20"/>
                <w:lang w:val="en-US"/>
              </w:rPr>
            </w:pPr>
            <w:r w:rsidRPr="00D31BEA">
              <w:rPr>
                <w:rFonts w:ascii="Arial" w:hAnsi="Arial" w:cs="Arial"/>
                <w:color w:val="000000" w:themeColor="text1"/>
                <w:sz w:val="20"/>
                <w:szCs w:val="20"/>
                <w:lang w:val="en-US"/>
              </w:rPr>
              <w:t>pNUT2338</w:t>
            </w:r>
          </w:p>
        </w:tc>
        <w:tc>
          <w:tcPr>
            <w:tcW w:w="5271" w:type="dxa"/>
            <w:shd w:val="clear" w:color="auto" w:fill="auto"/>
          </w:tcPr>
          <w:p w14:paraId="6A7882F1" w14:textId="77777777" w:rsidR="006A39EA" w:rsidRPr="00D31BEA" w:rsidRDefault="006A39EA" w:rsidP="00106EE0">
            <w:pPr>
              <w:spacing w:after="160"/>
              <w:contextualSpacing/>
              <w:jc w:val="both"/>
              <w:rPr>
                <w:rFonts w:ascii="Arial" w:hAnsi="Arial" w:cs="Arial"/>
                <w:b/>
                <w:color w:val="000000" w:themeColor="text1"/>
                <w:sz w:val="20"/>
                <w:szCs w:val="20"/>
                <w:lang w:val="en-US"/>
              </w:rPr>
            </w:pPr>
            <w:r w:rsidRPr="00D31BEA">
              <w:rPr>
                <w:rFonts w:ascii="Arial" w:hAnsi="Arial" w:cs="Arial"/>
                <w:color w:val="000000" w:themeColor="text1"/>
                <w:sz w:val="20"/>
                <w:szCs w:val="20"/>
                <w:lang w:val="en-US"/>
              </w:rPr>
              <w:t>pSC101*, Kan</w:t>
            </w:r>
            <w:r w:rsidRPr="00D31BEA">
              <w:rPr>
                <w:rFonts w:ascii="Arial" w:hAnsi="Arial" w:cs="Arial"/>
                <w:b/>
                <w:i/>
                <w:color w:val="000000" w:themeColor="text1"/>
                <w:sz w:val="20"/>
                <w:szCs w:val="20"/>
                <w:vertAlign w:val="superscript"/>
                <w:lang w:val="en-US"/>
              </w:rPr>
              <w:t>R</w:t>
            </w:r>
            <w:r w:rsidRPr="00D31BEA">
              <w:rPr>
                <w:rFonts w:ascii="Arial" w:hAnsi="Arial" w:cs="Arial"/>
                <w:b/>
                <w:i/>
                <w:color w:val="000000" w:themeColor="text1"/>
                <w:sz w:val="20"/>
                <w:szCs w:val="20"/>
                <w:lang w:val="en-US"/>
              </w:rPr>
              <w:t xml:space="preserve">, </w:t>
            </w:r>
            <w:r w:rsidRPr="00D31BEA">
              <w:rPr>
                <w:rFonts w:ascii="Arial" w:hAnsi="Arial" w:cs="Arial"/>
                <w:color w:val="000000" w:themeColor="text1"/>
                <w:sz w:val="20"/>
                <w:szCs w:val="20"/>
                <w:lang w:val="en-US"/>
              </w:rPr>
              <w:t>P</w:t>
            </w:r>
            <w:r w:rsidRPr="00D31BEA">
              <w:rPr>
                <w:rFonts w:ascii="Arial" w:hAnsi="Arial" w:cs="Arial"/>
                <w:i/>
                <w:iCs/>
                <w:color w:val="000000" w:themeColor="text1"/>
                <w:sz w:val="20"/>
                <w:szCs w:val="20"/>
                <w:vertAlign w:val="subscript"/>
                <w:lang w:val="en-US"/>
              </w:rPr>
              <w:t>tac</w:t>
            </w:r>
            <w:r w:rsidRPr="00D31BEA">
              <w:rPr>
                <w:rFonts w:ascii="Arial" w:hAnsi="Arial" w:cs="Arial"/>
                <w:i/>
                <w:iCs/>
                <w:color w:val="000000" w:themeColor="text1"/>
                <w:sz w:val="20"/>
                <w:szCs w:val="20"/>
                <w:lang w:val="en-US"/>
              </w:rPr>
              <w:t>-mRuby2-mRuby2</w:t>
            </w:r>
            <w:r w:rsidRPr="00D31BEA">
              <w:rPr>
                <w:rFonts w:ascii="Arial" w:hAnsi="Arial" w:cs="Arial"/>
                <w:color w:val="000000" w:themeColor="text1"/>
                <w:sz w:val="20"/>
                <w:szCs w:val="20"/>
                <w:shd w:val="clear" w:color="auto" w:fill="FFFFFF"/>
                <w:lang w:val="en-US"/>
              </w:rPr>
              <w:t>.</w:t>
            </w:r>
          </w:p>
        </w:tc>
        <w:tc>
          <w:tcPr>
            <w:tcW w:w="2217" w:type="dxa"/>
          </w:tcPr>
          <w:p w14:paraId="2C444001" w14:textId="77777777" w:rsidR="006A39EA" w:rsidRPr="00D31BEA" w:rsidRDefault="006A39EA" w:rsidP="00106EE0">
            <w:pPr>
              <w:spacing w:after="160"/>
              <w:contextualSpacing/>
              <w:rPr>
                <w:rFonts w:ascii="Arial" w:hAnsi="Arial" w:cs="Arial"/>
                <w:b/>
                <w:color w:val="000000" w:themeColor="text1"/>
                <w:sz w:val="20"/>
                <w:szCs w:val="20"/>
                <w:lang w:val="en-US"/>
              </w:rPr>
            </w:pPr>
            <w:r w:rsidRPr="00D31BEA">
              <w:rPr>
                <w:rFonts w:ascii="Arial" w:hAnsi="Arial" w:cs="Arial"/>
                <w:color w:val="000000" w:themeColor="text1"/>
                <w:sz w:val="20"/>
                <w:szCs w:val="20"/>
                <w:lang w:val="en-US"/>
              </w:rPr>
              <w:t>This study</w:t>
            </w:r>
          </w:p>
        </w:tc>
      </w:tr>
      <w:tr w:rsidR="006A39EA" w:rsidRPr="00D31BEA" w14:paraId="005F7936" w14:textId="77777777" w:rsidTr="00106EE0">
        <w:trPr>
          <w:trHeight w:val="65"/>
        </w:trPr>
        <w:tc>
          <w:tcPr>
            <w:tcW w:w="1528" w:type="dxa"/>
          </w:tcPr>
          <w:p w14:paraId="3D14D112" w14:textId="77777777" w:rsidR="006A39EA" w:rsidRPr="00D31BEA" w:rsidRDefault="006A39EA" w:rsidP="00106EE0">
            <w:pPr>
              <w:rPr>
                <w:rFonts w:ascii="Arial" w:hAnsi="Arial" w:cs="Arial"/>
                <w:color w:val="000000" w:themeColor="text1"/>
                <w:sz w:val="20"/>
                <w:szCs w:val="20"/>
                <w:lang w:val="en-US"/>
              </w:rPr>
            </w:pPr>
            <w:r w:rsidRPr="00D31BEA">
              <w:rPr>
                <w:rFonts w:ascii="Arial" w:hAnsi="Arial" w:cs="Arial"/>
                <w:color w:val="000000" w:themeColor="text1"/>
                <w:sz w:val="20"/>
                <w:szCs w:val="20"/>
                <w:lang w:val="en-US"/>
              </w:rPr>
              <w:t>pUC18R6KT-mini-Tn7-Km</w:t>
            </w:r>
          </w:p>
          <w:p w14:paraId="62A56A17" w14:textId="77777777" w:rsidR="006A39EA" w:rsidRPr="00D31BEA" w:rsidRDefault="006A39EA" w:rsidP="00106EE0">
            <w:pPr>
              <w:spacing w:after="160"/>
              <w:contextualSpacing/>
              <w:jc w:val="both"/>
              <w:rPr>
                <w:rFonts w:ascii="Arial" w:hAnsi="Arial" w:cs="Arial"/>
                <w:color w:val="000000" w:themeColor="text1"/>
                <w:sz w:val="20"/>
                <w:szCs w:val="20"/>
                <w:lang w:val="en-US"/>
              </w:rPr>
            </w:pPr>
          </w:p>
        </w:tc>
        <w:tc>
          <w:tcPr>
            <w:tcW w:w="5271" w:type="dxa"/>
            <w:shd w:val="clear" w:color="auto" w:fill="auto"/>
          </w:tcPr>
          <w:p w14:paraId="7EE3EA4A" w14:textId="77777777" w:rsidR="006A39EA" w:rsidRPr="00D31BEA" w:rsidRDefault="006A39EA" w:rsidP="00106EE0">
            <w:pPr>
              <w:rPr>
                <w:color w:val="000000" w:themeColor="text1"/>
                <w:sz w:val="20"/>
                <w:szCs w:val="20"/>
                <w:lang w:val="en-US"/>
              </w:rPr>
            </w:pPr>
            <w:r w:rsidRPr="00D31BEA">
              <w:rPr>
                <w:rFonts w:ascii="Arial" w:hAnsi="Arial" w:cs="Arial"/>
                <w:color w:val="000000" w:themeColor="text1"/>
                <w:sz w:val="20"/>
                <w:szCs w:val="20"/>
                <w:lang w:val="en-US"/>
              </w:rPr>
              <w:t xml:space="preserve">R6K ori, contains </w:t>
            </w:r>
            <w:r w:rsidRPr="00D31BEA">
              <w:rPr>
                <w:rFonts w:ascii="Arial" w:hAnsi="Arial" w:cs="Arial"/>
                <w:i/>
                <w:iCs/>
                <w:color w:val="000000" w:themeColor="text1"/>
                <w:sz w:val="20"/>
                <w:szCs w:val="20"/>
                <w:lang w:val="en-US"/>
              </w:rPr>
              <w:t>Tn7L</w:t>
            </w:r>
            <w:r w:rsidRPr="00D31BEA">
              <w:rPr>
                <w:rFonts w:ascii="Arial" w:hAnsi="Arial" w:cs="Arial"/>
                <w:color w:val="000000" w:themeColor="text1"/>
                <w:sz w:val="20"/>
                <w:szCs w:val="20"/>
                <w:lang w:val="en-US"/>
              </w:rPr>
              <w:t xml:space="preserve"> and </w:t>
            </w:r>
            <w:r w:rsidRPr="00D31BEA">
              <w:rPr>
                <w:rFonts w:ascii="Arial" w:hAnsi="Arial" w:cs="Arial"/>
                <w:i/>
                <w:iCs/>
                <w:color w:val="000000" w:themeColor="text1"/>
                <w:sz w:val="20"/>
                <w:szCs w:val="20"/>
                <w:lang w:val="en-US"/>
              </w:rPr>
              <w:t>Tn7R</w:t>
            </w:r>
            <w:r w:rsidRPr="00D31BEA">
              <w:rPr>
                <w:rFonts w:ascii="Arial" w:hAnsi="Arial" w:cs="Arial"/>
                <w:color w:val="000000" w:themeColor="text1"/>
                <w:sz w:val="20"/>
                <w:szCs w:val="20"/>
                <w:lang w:val="en-US"/>
              </w:rPr>
              <w:t xml:space="preserve"> sites, between these sites a</w:t>
            </w:r>
            <w:r w:rsidRPr="00D31BEA">
              <w:rPr>
                <w:rFonts w:ascii="Arial" w:hAnsi="Arial" w:cs="Arial"/>
                <w:i/>
                <w:color w:val="000000" w:themeColor="text1"/>
                <w:sz w:val="20"/>
                <w:szCs w:val="20"/>
                <w:lang w:val="en-US"/>
              </w:rPr>
              <w:t xml:space="preserve"> T</w:t>
            </w:r>
            <w:r w:rsidRPr="00D31BEA">
              <w:rPr>
                <w:rFonts w:ascii="Arial" w:hAnsi="Arial" w:cs="Arial"/>
                <w:color w:val="000000" w:themeColor="text1"/>
                <w:sz w:val="20"/>
                <w:szCs w:val="20"/>
                <w:lang w:val="en-US"/>
              </w:rPr>
              <w:t>n5 neomycin phosphotransferase cassette flanked</w:t>
            </w:r>
            <w:r w:rsidRPr="00D31BEA">
              <w:rPr>
                <w:rFonts w:ascii="Arial" w:hAnsi="Arial" w:cs="Arial"/>
                <w:i/>
                <w:color w:val="000000" w:themeColor="text1"/>
                <w:sz w:val="20"/>
                <w:szCs w:val="20"/>
                <w:lang w:val="en-US"/>
              </w:rPr>
              <w:t xml:space="preserve"> by frt</w:t>
            </w:r>
            <w:r w:rsidRPr="00D31BEA">
              <w:rPr>
                <w:rFonts w:ascii="Arial" w:hAnsi="Arial" w:cs="Arial"/>
                <w:color w:val="000000" w:themeColor="text1"/>
                <w:sz w:val="20"/>
                <w:szCs w:val="20"/>
                <w:lang w:val="en-US"/>
              </w:rPr>
              <w:t>, Amp</w:t>
            </w:r>
            <w:r w:rsidRPr="00D31BEA">
              <w:rPr>
                <w:rFonts w:ascii="Arial" w:hAnsi="Arial" w:cs="Arial"/>
                <w:color w:val="000000" w:themeColor="text1"/>
                <w:sz w:val="20"/>
                <w:szCs w:val="20"/>
                <w:vertAlign w:val="superscript"/>
                <w:lang w:val="en-US"/>
              </w:rPr>
              <w:t>R</w:t>
            </w:r>
            <w:r w:rsidRPr="00D31BEA">
              <w:rPr>
                <w:rFonts w:ascii="Arial" w:hAnsi="Arial" w:cs="Arial"/>
                <w:color w:val="000000" w:themeColor="text1"/>
                <w:sz w:val="20"/>
                <w:szCs w:val="20"/>
                <w:lang w:val="en-US"/>
              </w:rPr>
              <w:t>.</w:t>
            </w:r>
          </w:p>
        </w:tc>
        <w:tc>
          <w:tcPr>
            <w:tcW w:w="2217" w:type="dxa"/>
          </w:tcPr>
          <w:p w14:paraId="08A01558" w14:textId="77777777" w:rsidR="006A39EA" w:rsidRPr="00D31BEA" w:rsidRDefault="006A39EA" w:rsidP="00106EE0">
            <w:pPr>
              <w:spacing w:after="160"/>
              <w:contextualSpacing/>
              <w:rPr>
                <w:rFonts w:ascii="Arial" w:hAnsi="Arial" w:cs="Arial"/>
                <w:color w:val="000000" w:themeColor="text1"/>
                <w:sz w:val="20"/>
                <w:szCs w:val="20"/>
                <w:lang w:val="en-US"/>
              </w:rPr>
            </w:pPr>
            <w:r w:rsidRPr="00D31BEA">
              <w:rPr>
                <w:rFonts w:ascii="Arial" w:hAnsi="Arial" w:cs="Arial"/>
                <w:color w:val="000000" w:themeColor="text1"/>
                <w:sz w:val="20"/>
                <w:szCs w:val="20"/>
                <w:lang w:val="en-US"/>
              </w:rPr>
              <w:fldChar w:fldCharType="begin" w:fldLock="1"/>
            </w:r>
            <w:r w:rsidRPr="00D31BEA">
              <w:rPr>
                <w:rFonts w:ascii="Arial" w:hAnsi="Arial" w:cs="Arial"/>
                <w:color w:val="000000" w:themeColor="text1"/>
                <w:sz w:val="20"/>
                <w:szCs w:val="20"/>
                <w:lang w:val="en-US"/>
              </w:rPr>
              <w:instrText>ADDIN CSL_CITATION {"citationItems":[{"id":"ITEM-1","itemData":{"DOI":"10.1038/nmeth765","ISSN":"1548-7091","PMID":"15908923","abstract":"For many bacteria, cloning and expression systems are either scarce or nonexistent. We constructed several mini-Tn7 vectors and evaluated their potential as broad-range cloning and expression systems. In bacteria with a single chromosome, including Pseudomonas aeruginosa, Pseudomonas putida and Yersinia pestis, and in the presence of a helper plasmid encoding the site-specific transposition pathway, site- and orientation-specific Tn7 insertions occurred at a single attTn7 site downstream of the glmS gene. Burkholderia thailandensis contains two chromosomes, each containing a glmS gene and an attTn7 site. The Tn7 system allows engineering of diverse genetic traits into bacteria, as demonstrated by complementing a biofilm-growth defect of P. aeruginosa, establishing expression systems in P. aeruginosa and P. putida, and 'GFP-tagging' Y. pestis. This system will thus have widespread biomedical and environmental applications, especially in environments where plasmids and antibiotic selection are not feasible, namely in plant and animal models or biofilms.","author":[{"dropping-particle":"","family":"Choi","given":"Kyoung-Hee","non-dropping-particle":"","parse-names":false,"suffix":""},{"dropping-particle":"","family":"Gaynor","given":"Jared B.","non-dropping-particle":"","parse-names":false,"suffix":""},{"dropping-particle":"","family":"White","given":"Kimberly G.","non-dropping-particle":"","parse-names":false,"suffix":""},{"dropping-particle":"","family":"Lopez","given":"Carolina","non-dropping-particle":"","parse-names":false,"suffix":""},{"dropping-particle":"","family":"Bosio","given":"Catharine M.","non-dropping-particle":"","parse-names":false,"suffix":""},{"dropping-particle":"","family":"Karkhoff-Schweizer","given":"RoxAnn R","non-dropping-particle":"","parse-names":false,"suffix":""},{"dropping-particle":"","family":"Schweizer","given":"Herbert P.","non-dropping-particle":"","parse-names":false,"suffix":""}],"container-title":"Nature Methods","id":"ITEM-1","issue":"6","issued":{"date-parts":[["2005","6","20"]]},"page":"443-448","title":"A Tn7-based broad-range bacterial cloning and expression system","type":"article-journal","volume":"2"},"uris":["http://www.mendeley.com/documents/?uuid=db6a243b-a2be-40e5-b597-d8d236ba98e9"]}],"mendeley":{"formattedCitation":"(Choi et al., 2005)","plainTextFormattedCitation":"(Choi et al., 2005)","previouslyFormattedCitation":"(Choi et al., 2005)"},"properties":{"noteIndex":0},"schema":"https://github.com/citation-style-language/schema/raw/master/csl-citation.json"}</w:instrText>
            </w:r>
            <w:r w:rsidRPr="00D31BEA">
              <w:rPr>
                <w:rFonts w:ascii="Arial" w:hAnsi="Arial" w:cs="Arial"/>
                <w:color w:val="000000" w:themeColor="text1"/>
                <w:sz w:val="20"/>
                <w:szCs w:val="20"/>
                <w:lang w:val="en-US"/>
              </w:rPr>
              <w:fldChar w:fldCharType="separate"/>
            </w:r>
            <w:r w:rsidRPr="00D31BEA">
              <w:rPr>
                <w:rFonts w:ascii="Arial" w:hAnsi="Arial" w:cs="Arial"/>
                <w:noProof/>
                <w:color w:val="000000" w:themeColor="text1"/>
                <w:sz w:val="20"/>
                <w:szCs w:val="20"/>
                <w:lang w:val="en-US"/>
              </w:rPr>
              <w:t>(Choi et al., 2005)</w:t>
            </w:r>
            <w:r w:rsidRPr="00D31BEA">
              <w:rPr>
                <w:rFonts w:ascii="Arial" w:hAnsi="Arial" w:cs="Arial"/>
                <w:color w:val="000000" w:themeColor="text1"/>
                <w:sz w:val="20"/>
                <w:szCs w:val="20"/>
                <w:lang w:val="en-US"/>
              </w:rPr>
              <w:fldChar w:fldCharType="end"/>
            </w:r>
            <w:r w:rsidRPr="00D31BEA">
              <w:rPr>
                <w:rFonts w:ascii="Arial" w:hAnsi="Arial" w:cs="Arial"/>
                <w:color w:val="000000" w:themeColor="text1"/>
                <w:sz w:val="20"/>
                <w:szCs w:val="20"/>
                <w:lang w:val="en-US"/>
              </w:rPr>
              <w:t>, Addgene #64969</w:t>
            </w:r>
          </w:p>
        </w:tc>
      </w:tr>
      <w:tr w:rsidR="006A39EA" w:rsidRPr="00D31BEA" w14:paraId="1B6D8196" w14:textId="77777777" w:rsidTr="00106EE0">
        <w:tc>
          <w:tcPr>
            <w:tcW w:w="1528" w:type="dxa"/>
          </w:tcPr>
          <w:p w14:paraId="69B9AE7C" w14:textId="77777777" w:rsidR="006A39EA" w:rsidRPr="00D31BEA" w:rsidRDefault="006A39EA" w:rsidP="00106EE0">
            <w:pPr>
              <w:rPr>
                <w:rFonts w:ascii="Arial" w:hAnsi="Arial" w:cs="Arial"/>
                <w:color w:val="000000" w:themeColor="text1"/>
                <w:sz w:val="20"/>
                <w:szCs w:val="20"/>
                <w:lang w:val="en-US"/>
              </w:rPr>
            </w:pPr>
            <w:r w:rsidRPr="00D31BEA">
              <w:rPr>
                <w:rFonts w:ascii="Arial" w:hAnsi="Arial" w:cs="Arial"/>
                <w:color w:val="000000" w:themeColor="text1"/>
                <w:sz w:val="20"/>
                <w:szCs w:val="20"/>
                <w:lang w:val="en-US"/>
              </w:rPr>
              <w:t>pTNS2</w:t>
            </w:r>
          </w:p>
          <w:p w14:paraId="1367A8C9" w14:textId="77777777" w:rsidR="006A39EA" w:rsidRPr="00D31BEA" w:rsidRDefault="006A39EA" w:rsidP="00106EE0">
            <w:pPr>
              <w:spacing w:after="160"/>
              <w:contextualSpacing/>
              <w:jc w:val="both"/>
              <w:rPr>
                <w:rFonts w:ascii="Arial" w:hAnsi="Arial" w:cs="Arial"/>
                <w:color w:val="000000" w:themeColor="text1"/>
                <w:sz w:val="20"/>
                <w:szCs w:val="20"/>
                <w:lang w:val="en-US"/>
              </w:rPr>
            </w:pPr>
          </w:p>
        </w:tc>
        <w:tc>
          <w:tcPr>
            <w:tcW w:w="5271" w:type="dxa"/>
          </w:tcPr>
          <w:p w14:paraId="0AC2F1CD" w14:textId="77777777" w:rsidR="006A39EA" w:rsidRPr="00D31BEA" w:rsidRDefault="006A39EA" w:rsidP="00106EE0">
            <w:pPr>
              <w:rPr>
                <w:color w:val="000000" w:themeColor="text1"/>
                <w:lang w:val="en-US"/>
              </w:rPr>
            </w:pPr>
            <w:r w:rsidRPr="00D31BEA">
              <w:rPr>
                <w:rFonts w:ascii="Arial" w:hAnsi="Arial" w:cs="Arial"/>
                <w:color w:val="000000" w:themeColor="text1"/>
                <w:sz w:val="20"/>
                <w:szCs w:val="20"/>
                <w:lang w:val="en-US"/>
              </w:rPr>
              <w:t>R6K ori, plasmid for transposase (</w:t>
            </w:r>
            <w:r w:rsidRPr="00D31BEA">
              <w:rPr>
                <w:rFonts w:ascii="Arial" w:hAnsi="Arial" w:cs="Arial"/>
                <w:i/>
                <w:color w:val="000000" w:themeColor="text1"/>
                <w:sz w:val="20"/>
                <w:szCs w:val="20"/>
                <w:shd w:val="clear" w:color="auto" w:fill="FFFFFF"/>
                <w:lang w:val="en-US"/>
              </w:rPr>
              <w:t>tnsABCD</w:t>
            </w:r>
            <w:r w:rsidRPr="00D31BEA">
              <w:rPr>
                <w:rFonts w:ascii="Arial" w:hAnsi="Arial" w:cs="Arial"/>
                <w:color w:val="000000" w:themeColor="text1"/>
                <w:sz w:val="20"/>
                <w:szCs w:val="20"/>
                <w:lang w:val="en-US"/>
              </w:rPr>
              <w:t>) expression, Amp</w:t>
            </w:r>
            <w:r w:rsidRPr="00D31BEA">
              <w:rPr>
                <w:rFonts w:ascii="Arial" w:hAnsi="Arial" w:cs="Arial"/>
                <w:color w:val="000000" w:themeColor="text1"/>
                <w:sz w:val="20"/>
                <w:szCs w:val="20"/>
                <w:vertAlign w:val="superscript"/>
                <w:lang w:val="en-US"/>
              </w:rPr>
              <w:t>R</w:t>
            </w:r>
            <w:r w:rsidRPr="00D31BEA">
              <w:rPr>
                <w:rFonts w:ascii="Arial" w:hAnsi="Arial" w:cs="Arial"/>
                <w:color w:val="000000" w:themeColor="text1"/>
                <w:sz w:val="20"/>
                <w:szCs w:val="20"/>
                <w:lang w:val="en-US"/>
              </w:rPr>
              <w:t>.</w:t>
            </w:r>
          </w:p>
        </w:tc>
        <w:tc>
          <w:tcPr>
            <w:tcW w:w="2217" w:type="dxa"/>
          </w:tcPr>
          <w:p w14:paraId="73C30396" w14:textId="77777777" w:rsidR="006A39EA" w:rsidRPr="00D31BEA" w:rsidRDefault="006A39EA" w:rsidP="00106EE0">
            <w:pPr>
              <w:spacing w:after="160"/>
              <w:contextualSpacing/>
              <w:rPr>
                <w:rFonts w:ascii="Arial" w:hAnsi="Arial" w:cs="Arial"/>
                <w:color w:val="000000" w:themeColor="text1"/>
                <w:sz w:val="20"/>
                <w:szCs w:val="20"/>
                <w:lang w:val="en-US"/>
              </w:rPr>
            </w:pPr>
            <w:r w:rsidRPr="00D31BEA">
              <w:rPr>
                <w:rFonts w:ascii="Arial" w:hAnsi="Arial" w:cs="Arial"/>
                <w:color w:val="000000" w:themeColor="text1"/>
                <w:sz w:val="20"/>
                <w:szCs w:val="20"/>
                <w:lang w:val="en-US"/>
              </w:rPr>
              <w:fldChar w:fldCharType="begin" w:fldLock="1"/>
            </w:r>
            <w:r w:rsidRPr="00D31BEA">
              <w:rPr>
                <w:rFonts w:ascii="Arial" w:hAnsi="Arial" w:cs="Arial"/>
                <w:color w:val="000000" w:themeColor="text1"/>
                <w:sz w:val="20"/>
                <w:szCs w:val="20"/>
                <w:lang w:val="en-US"/>
              </w:rPr>
              <w:instrText>ADDIN CSL_CITATION {"citationItems":[{"id":"ITEM-1","itemData":{"DOI":"10.1038/nmeth765","ISSN":"1548-7091","PMID":"15908923","abstract":"For many bacteria, cloning and expression systems are either scarce or nonexistent. We constructed several mini-Tn7 vectors and evaluated their potential as broad-range cloning and expression systems. In bacteria with a single chromosome, including Pseudomonas aeruginosa, Pseudomonas putida and Yersinia pestis, and in the presence of a helper plasmid encoding the site-specific transposition pathway, site- and orientation-specific Tn7 insertions occurred at a single attTn7 site downstream of the glmS gene. Burkholderia thailandensis contains two chromosomes, each containing a glmS gene and an attTn7 site. The Tn7 system allows engineering of diverse genetic traits into bacteria, as demonstrated by complementing a biofilm-growth defect of P. aeruginosa, establishing expression systems in P. aeruginosa and P. putida, and 'GFP-tagging' Y. pestis. This system will thus have widespread biomedical and environmental applications, especially in environments where plasmids and antibiotic selection are not feasible, namely in plant and animal models or biofilms.","author":[{"dropping-particle":"","family":"Choi","given":"Kyoung-Hee","non-dropping-particle":"","parse-names":false,"suffix":""},{"dropping-particle":"","family":"Gaynor","given":"Jared B.","non-dropping-particle":"","parse-names":false,"suffix":""},{"dropping-particle":"","family":"White","given":"Kimberly G.","non-dropping-particle":"","parse-names":false,"suffix":""},{"dropping-particle":"","family":"Lopez","given":"Carolina","non-dropping-particle":"","parse-names":false,"suffix":""},{"dropping-particle":"","family":"Bosio","given":"Catharine M.","non-dropping-particle":"","parse-names":false,"suffix":""},{"dropping-particle":"","family":"Karkhoff-Schweizer","given":"RoxAnn R","non-dropping-particle":"","parse-names":false,"suffix":""},{"dropping-particle":"","family":"Schweizer","given":"Herbert P.","non-dropping-particle":"","parse-names":false,"suffix":""}],"container-title":"Nature Methods","id":"ITEM-1","issue":"6","issued":{"date-parts":[["2005","6","20"]]},"page":"443-448","title":"A Tn7-based broad-range bacterial cloning and expression system","type":"article-journal","volume":"2"},"uris":["http://www.mendeley.com/documents/?uuid=db6a243b-a2be-40e5-b597-d8d236ba98e9"]}],"mendeley":{"formattedCitation":"(Choi et al., 2005)","plainTextFormattedCitation":"(Choi et al., 2005)","previouslyFormattedCitation":"(Choi et al., 2005)"},"properties":{"noteIndex":0},"schema":"https://github.com/citation-style-language/schema/raw/master/csl-citation.json"}</w:instrText>
            </w:r>
            <w:r w:rsidRPr="00D31BEA">
              <w:rPr>
                <w:rFonts w:ascii="Arial" w:hAnsi="Arial" w:cs="Arial"/>
                <w:color w:val="000000" w:themeColor="text1"/>
                <w:sz w:val="20"/>
                <w:szCs w:val="20"/>
                <w:lang w:val="en-US"/>
              </w:rPr>
              <w:fldChar w:fldCharType="separate"/>
            </w:r>
            <w:r w:rsidRPr="00D31BEA">
              <w:rPr>
                <w:rFonts w:ascii="Arial" w:hAnsi="Arial" w:cs="Arial"/>
                <w:noProof/>
                <w:color w:val="000000" w:themeColor="text1"/>
                <w:sz w:val="20"/>
                <w:szCs w:val="20"/>
                <w:lang w:val="en-US"/>
              </w:rPr>
              <w:t>(Choi et al., 2005)</w:t>
            </w:r>
            <w:r w:rsidRPr="00D31BEA">
              <w:rPr>
                <w:rFonts w:ascii="Arial" w:hAnsi="Arial" w:cs="Arial"/>
                <w:color w:val="000000" w:themeColor="text1"/>
                <w:sz w:val="20"/>
                <w:szCs w:val="20"/>
                <w:lang w:val="en-US"/>
              </w:rPr>
              <w:fldChar w:fldCharType="end"/>
            </w:r>
            <w:r w:rsidRPr="00D31BEA">
              <w:rPr>
                <w:rFonts w:ascii="Arial" w:hAnsi="Arial" w:cs="Arial"/>
                <w:color w:val="000000" w:themeColor="text1"/>
                <w:sz w:val="20"/>
                <w:szCs w:val="20"/>
                <w:lang w:val="en-US"/>
              </w:rPr>
              <w:t>, Addgene #64968</w:t>
            </w:r>
          </w:p>
        </w:tc>
      </w:tr>
      <w:tr w:rsidR="006A39EA" w:rsidRPr="00D31BEA" w14:paraId="4891FEAF" w14:textId="77777777" w:rsidTr="00106EE0">
        <w:tc>
          <w:tcPr>
            <w:tcW w:w="1528" w:type="dxa"/>
          </w:tcPr>
          <w:p w14:paraId="53112724" w14:textId="77777777" w:rsidR="006A39EA" w:rsidRPr="00D31BEA" w:rsidRDefault="006A39EA" w:rsidP="00106EE0">
            <w:pPr>
              <w:spacing w:after="160"/>
              <w:contextualSpacing/>
              <w:jc w:val="both"/>
              <w:rPr>
                <w:rFonts w:ascii="Arial" w:hAnsi="Arial" w:cs="Arial"/>
                <w:color w:val="000000" w:themeColor="text1"/>
                <w:sz w:val="20"/>
                <w:szCs w:val="20"/>
                <w:lang w:val="en-US"/>
              </w:rPr>
            </w:pPr>
            <w:r w:rsidRPr="00D31BEA">
              <w:rPr>
                <w:rFonts w:ascii="Arial" w:hAnsi="Arial" w:cs="Arial"/>
                <w:color w:val="000000" w:themeColor="text1"/>
                <w:sz w:val="20"/>
                <w:szCs w:val="20"/>
                <w:lang w:val="en-US"/>
              </w:rPr>
              <w:t>pNUT2674</w:t>
            </w:r>
          </w:p>
        </w:tc>
        <w:tc>
          <w:tcPr>
            <w:tcW w:w="5271" w:type="dxa"/>
          </w:tcPr>
          <w:p w14:paraId="54176D23" w14:textId="77777777" w:rsidR="006A39EA" w:rsidRPr="00D31BEA" w:rsidRDefault="006A39EA" w:rsidP="00106EE0">
            <w:pPr>
              <w:rPr>
                <w:rFonts w:ascii="Arial" w:hAnsi="Arial" w:cs="Arial"/>
                <w:color w:val="000000" w:themeColor="text1"/>
                <w:sz w:val="20"/>
                <w:szCs w:val="20"/>
                <w:lang w:val="en-US"/>
              </w:rPr>
            </w:pPr>
            <w:r w:rsidRPr="00D31BEA">
              <w:rPr>
                <w:rFonts w:ascii="Arial" w:hAnsi="Arial" w:cs="Arial"/>
                <w:color w:val="000000" w:themeColor="text1"/>
                <w:sz w:val="20"/>
                <w:szCs w:val="20"/>
                <w:lang w:val="en-US"/>
              </w:rPr>
              <w:t>pKD4 backbone, P</w:t>
            </w:r>
            <w:r w:rsidRPr="00D31BEA">
              <w:rPr>
                <w:rFonts w:ascii="Arial" w:hAnsi="Arial" w:cs="Arial"/>
                <w:i/>
                <w:iCs/>
                <w:color w:val="000000" w:themeColor="text1"/>
                <w:sz w:val="20"/>
                <w:szCs w:val="20"/>
                <w:vertAlign w:val="subscript"/>
                <w:lang w:val="en-US"/>
              </w:rPr>
              <w:t>tac</w:t>
            </w:r>
            <w:r w:rsidRPr="00D31BEA">
              <w:rPr>
                <w:rFonts w:ascii="Arial" w:hAnsi="Arial" w:cs="Arial"/>
                <w:i/>
                <w:iCs/>
                <w:color w:val="000000" w:themeColor="text1"/>
                <w:sz w:val="20"/>
                <w:szCs w:val="20"/>
                <w:lang w:val="en-US"/>
              </w:rPr>
              <w:t>-sfgfp</w:t>
            </w:r>
            <w:r w:rsidRPr="00D31BEA">
              <w:rPr>
                <w:rFonts w:ascii="Arial" w:hAnsi="Arial" w:cs="Arial"/>
                <w:color w:val="000000" w:themeColor="text1"/>
                <w:sz w:val="20"/>
                <w:szCs w:val="20"/>
                <w:lang w:val="en-US"/>
              </w:rPr>
              <w:t xml:space="preserve">(ASV), coding for an unstable superfolder GFP with the </w:t>
            </w:r>
            <w:r w:rsidRPr="00D31BEA">
              <w:rPr>
                <w:rFonts w:ascii="Helvetica" w:hAnsi="Helvetica"/>
                <w:color w:val="000000" w:themeColor="text1"/>
                <w:sz w:val="20"/>
                <w:szCs w:val="20"/>
                <w:shd w:val="clear" w:color="auto" w:fill="FFFFFF"/>
                <w:lang w:val="en-US"/>
              </w:rPr>
              <w:t>AANDENYAASV</w:t>
            </w:r>
            <w:r w:rsidRPr="00D31BEA">
              <w:rPr>
                <w:rFonts w:ascii="Arial" w:hAnsi="Arial" w:cs="Arial"/>
                <w:color w:val="000000" w:themeColor="text1"/>
                <w:sz w:val="20"/>
                <w:szCs w:val="20"/>
                <w:lang w:val="en-US"/>
              </w:rPr>
              <w:t xml:space="preserve">-tag. </w:t>
            </w:r>
          </w:p>
        </w:tc>
        <w:tc>
          <w:tcPr>
            <w:tcW w:w="2217" w:type="dxa"/>
          </w:tcPr>
          <w:p w14:paraId="21C2C87C" w14:textId="77777777" w:rsidR="006A39EA" w:rsidRPr="00D31BEA" w:rsidRDefault="006A39EA" w:rsidP="00106EE0">
            <w:pPr>
              <w:spacing w:after="160"/>
              <w:contextualSpacing/>
              <w:rPr>
                <w:rFonts w:ascii="Arial" w:hAnsi="Arial" w:cs="Arial"/>
                <w:color w:val="000000" w:themeColor="text1"/>
                <w:sz w:val="20"/>
                <w:szCs w:val="20"/>
                <w:lang w:val="en-US"/>
              </w:rPr>
            </w:pPr>
            <w:r w:rsidRPr="00D31BEA">
              <w:rPr>
                <w:rFonts w:ascii="Arial" w:hAnsi="Arial" w:cs="Arial"/>
                <w:color w:val="000000" w:themeColor="text1"/>
                <w:sz w:val="20"/>
                <w:szCs w:val="20"/>
                <w:lang w:val="en-US"/>
              </w:rPr>
              <w:t>This study</w:t>
            </w:r>
          </w:p>
        </w:tc>
      </w:tr>
      <w:tr w:rsidR="006A39EA" w:rsidRPr="00D31BEA" w14:paraId="5FBE96D6" w14:textId="77777777" w:rsidTr="00106EE0">
        <w:tc>
          <w:tcPr>
            <w:tcW w:w="1528" w:type="dxa"/>
          </w:tcPr>
          <w:p w14:paraId="23E45DE9" w14:textId="77777777" w:rsidR="006A39EA" w:rsidRPr="00D31BEA" w:rsidRDefault="006A39EA" w:rsidP="00106EE0">
            <w:pPr>
              <w:spacing w:after="160"/>
              <w:contextualSpacing/>
              <w:jc w:val="both"/>
              <w:rPr>
                <w:rFonts w:ascii="Arial" w:hAnsi="Arial" w:cs="Arial"/>
                <w:color w:val="000000" w:themeColor="text1"/>
                <w:sz w:val="20"/>
                <w:szCs w:val="20"/>
                <w:lang w:val="en-US"/>
              </w:rPr>
            </w:pPr>
            <w:r w:rsidRPr="00D31BEA">
              <w:rPr>
                <w:rFonts w:ascii="Arial" w:hAnsi="Arial" w:cs="Arial"/>
                <w:color w:val="000000" w:themeColor="text1"/>
                <w:sz w:val="20"/>
                <w:szCs w:val="20"/>
                <w:lang w:val="en-US"/>
              </w:rPr>
              <w:t>pNUT2787</w:t>
            </w:r>
          </w:p>
        </w:tc>
        <w:tc>
          <w:tcPr>
            <w:tcW w:w="5271" w:type="dxa"/>
          </w:tcPr>
          <w:p w14:paraId="0AF3816C" w14:textId="77777777" w:rsidR="006A39EA" w:rsidRPr="00D31BEA" w:rsidRDefault="006A39EA" w:rsidP="00106EE0">
            <w:pPr>
              <w:rPr>
                <w:rFonts w:ascii="Arial" w:hAnsi="Arial" w:cs="Arial"/>
                <w:color w:val="000000" w:themeColor="text1"/>
                <w:sz w:val="20"/>
                <w:szCs w:val="20"/>
                <w:lang w:val="en-US"/>
              </w:rPr>
            </w:pPr>
            <w:r w:rsidRPr="00D31BEA">
              <w:rPr>
                <w:rFonts w:ascii="Arial" w:hAnsi="Arial" w:cs="Arial"/>
                <w:color w:val="000000" w:themeColor="text1"/>
                <w:sz w:val="20"/>
                <w:szCs w:val="20"/>
                <w:lang w:val="en-US"/>
              </w:rPr>
              <w:t>pUC18R6KT-mini-Tn7-Km backbone. Tn5 neomycin phosphotransferase cassette replaced by a chloramphenicol acetyl transferase cassette</w:t>
            </w:r>
          </w:p>
        </w:tc>
        <w:tc>
          <w:tcPr>
            <w:tcW w:w="2217" w:type="dxa"/>
          </w:tcPr>
          <w:p w14:paraId="3AB8D48A" w14:textId="77777777" w:rsidR="006A39EA" w:rsidRPr="00D31BEA" w:rsidRDefault="006A39EA" w:rsidP="00106EE0">
            <w:pPr>
              <w:spacing w:after="160"/>
              <w:contextualSpacing/>
              <w:rPr>
                <w:rFonts w:ascii="Arial" w:hAnsi="Arial" w:cs="Arial"/>
                <w:color w:val="000000" w:themeColor="text1"/>
                <w:sz w:val="20"/>
                <w:szCs w:val="20"/>
                <w:lang w:val="en-US"/>
              </w:rPr>
            </w:pPr>
            <w:r w:rsidRPr="00D31BEA">
              <w:rPr>
                <w:rFonts w:ascii="Arial" w:hAnsi="Arial" w:cs="Arial"/>
                <w:color w:val="000000" w:themeColor="text1"/>
                <w:sz w:val="20"/>
                <w:szCs w:val="20"/>
                <w:lang w:val="en-US"/>
              </w:rPr>
              <w:t>This study</w:t>
            </w:r>
          </w:p>
        </w:tc>
      </w:tr>
      <w:tr w:rsidR="006A39EA" w:rsidRPr="00D31BEA" w14:paraId="09EFC091" w14:textId="77777777" w:rsidTr="00106EE0">
        <w:tc>
          <w:tcPr>
            <w:tcW w:w="1528" w:type="dxa"/>
          </w:tcPr>
          <w:p w14:paraId="2DAD6E61" w14:textId="77777777" w:rsidR="006A39EA" w:rsidRPr="00D31BEA" w:rsidRDefault="006A39EA" w:rsidP="00106EE0">
            <w:pPr>
              <w:spacing w:after="160"/>
              <w:contextualSpacing/>
              <w:jc w:val="both"/>
              <w:rPr>
                <w:rFonts w:ascii="Arial" w:hAnsi="Arial" w:cs="Arial"/>
                <w:color w:val="000000" w:themeColor="text1"/>
                <w:sz w:val="20"/>
                <w:szCs w:val="20"/>
                <w:lang w:val="en-US"/>
              </w:rPr>
            </w:pPr>
            <w:r w:rsidRPr="00D31BEA">
              <w:rPr>
                <w:rFonts w:ascii="Arial" w:hAnsi="Arial" w:cs="Arial"/>
                <w:color w:val="000000" w:themeColor="text1"/>
                <w:sz w:val="20"/>
                <w:szCs w:val="20"/>
                <w:lang w:val="en-US"/>
              </w:rPr>
              <w:t>pNUT2838</w:t>
            </w:r>
          </w:p>
        </w:tc>
        <w:tc>
          <w:tcPr>
            <w:tcW w:w="5271" w:type="dxa"/>
          </w:tcPr>
          <w:p w14:paraId="71704285" w14:textId="77777777" w:rsidR="006A39EA" w:rsidRPr="00D31BEA" w:rsidRDefault="006A39EA" w:rsidP="00106EE0">
            <w:pPr>
              <w:rPr>
                <w:rFonts w:ascii="Arial" w:hAnsi="Arial" w:cs="Arial"/>
                <w:color w:val="000000" w:themeColor="text1"/>
                <w:sz w:val="20"/>
                <w:szCs w:val="20"/>
                <w:lang w:val="en-US"/>
              </w:rPr>
            </w:pPr>
            <w:r w:rsidRPr="00D31BEA">
              <w:rPr>
                <w:rFonts w:ascii="Arial" w:hAnsi="Arial" w:cs="Arial"/>
                <w:color w:val="000000" w:themeColor="text1"/>
                <w:sz w:val="20"/>
                <w:szCs w:val="20"/>
                <w:lang w:val="en-US"/>
              </w:rPr>
              <w:t>pNUT2787 backbone. P</w:t>
            </w:r>
            <w:r w:rsidRPr="00D31BEA">
              <w:rPr>
                <w:rFonts w:ascii="Arial" w:hAnsi="Arial" w:cs="Arial"/>
                <w:i/>
                <w:iCs/>
                <w:color w:val="000000" w:themeColor="text1"/>
                <w:sz w:val="20"/>
                <w:szCs w:val="20"/>
                <w:vertAlign w:val="subscript"/>
                <w:lang w:val="en-US"/>
              </w:rPr>
              <w:t>tac</w:t>
            </w:r>
            <w:r w:rsidRPr="00D31BEA">
              <w:rPr>
                <w:rFonts w:ascii="Arial" w:hAnsi="Arial" w:cs="Arial"/>
                <w:i/>
                <w:iCs/>
                <w:color w:val="000000" w:themeColor="text1"/>
                <w:sz w:val="20"/>
                <w:szCs w:val="20"/>
                <w:lang w:val="en-US"/>
              </w:rPr>
              <w:t>-sfgfp</w:t>
            </w:r>
            <w:r w:rsidRPr="00D31BEA">
              <w:rPr>
                <w:rFonts w:ascii="Arial" w:hAnsi="Arial" w:cs="Arial"/>
                <w:color w:val="000000" w:themeColor="text1"/>
                <w:sz w:val="20"/>
                <w:szCs w:val="20"/>
                <w:lang w:val="en-US"/>
              </w:rPr>
              <w:t xml:space="preserve">(ASV), coding for an unstable superfolder GFP with the </w:t>
            </w:r>
            <w:r w:rsidRPr="00D31BEA">
              <w:rPr>
                <w:rFonts w:ascii="Helvetica" w:hAnsi="Helvetica"/>
                <w:color w:val="000000" w:themeColor="text1"/>
                <w:sz w:val="20"/>
                <w:szCs w:val="20"/>
                <w:shd w:val="clear" w:color="auto" w:fill="FFFFFF"/>
                <w:lang w:val="en-US"/>
              </w:rPr>
              <w:t>AANDENYAASV-</w:t>
            </w:r>
            <w:r w:rsidRPr="00D31BEA">
              <w:rPr>
                <w:rFonts w:ascii="Arial" w:hAnsi="Arial" w:cs="Arial"/>
                <w:color w:val="000000" w:themeColor="text1"/>
                <w:sz w:val="20"/>
                <w:szCs w:val="20"/>
                <w:lang w:val="en-US"/>
              </w:rPr>
              <w:t xml:space="preserve">tag, placed between </w:t>
            </w:r>
            <w:r w:rsidRPr="00D31BEA">
              <w:rPr>
                <w:rFonts w:ascii="Arial" w:hAnsi="Arial" w:cs="Arial"/>
                <w:i/>
                <w:color w:val="000000" w:themeColor="text1"/>
                <w:sz w:val="20"/>
                <w:szCs w:val="20"/>
                <w:lang w:val="en-US"/>
              </w:rPr>
              <w:t>Tn7L</w:t>
            </w:r>
            <w:r w:rsidRPr="00D31BEA">
              <w:rPr>
                <w:rFonts w:ascii="Arial" w:hAnsi="Arial" w:cs="Arial"/>
                <w:color w:val="000000" w:themeColor="text1"/>
                <w:sz w:val="20"/>
                <w:szCs w:val="20"/>
                <w:lang w:val="en-US"/>
              </w:rPr>
              <w:t xml:space="preserve"> and </w:t>
            </w:r>
            <w:r w:rsidRPr="00D31BEA">
              <w:rPr>
                <w:rFonts w:ascii="Arial" w:hAnsi="Arial" w:cs="Arial"/>
                <w:i/>
                <w:color w:val="000000" w:themeColor="text1"/>
                <w:sz w:val="20"/>
                <w:szCs w:val="20"/>
                <w:lang w:val="en-US"/>
              </w:rPr>
              <w:t>Tn7R</w:t>
            </w:r>
            <w:r w:rsidRPr="00D31BEA">
              <w:rPr>
                <w:rFonts w:ascii="Arial" w:hAnsi="Arial" w:cs="Arial"/>
                <w:color w:val="000000" w:themeColor="text1"/>
                <w:sz w:val="20"/>
                <w:szCs w:val="20"/>
                <w:lang w:val="en-US"/>
              </w:rPr>
              <w:t xml:space="preserve"> sites.</w:t>
            </w:r>
          </w:p>
        </w:tc>
        <w:tc>
          <w:tcPr>
            <w:tcW w:w="2217" w:type="dxa"/>
          </w:tcPr>
          <w:p w14:paraId="7AB4ECDC" w14:textId="77777777" w:rsidR="006A39EA" w:rsidRPr="00D31BEA" w:rsidRDefault="006A39EA" w:rsidP="00106EE0">
            <w:pPr>
              <w:spacing w:after="160"/>
              <w:contextualSpacing/>
              <w:rPr>
                <w:rFonts w:ascii="Arial" w:hAnsi="Arial" w:cs="Arial"/>
                <w:color w:val="000000" w:themeColor="text1"/>
                <w:sz w:val="20"/>
                <w:szCs w:val="20"/>
                <w:lang w:val="en-US"/>
              </w:rPr>
            </w:pPr>
            <w:r w:rsidRPr="00D31BEA">
              <w:rPr>
                <w:rFonts w:ascii="Arial" w:hAnsi="Arial" w:cs="Arial"/>
                <w:color w:val="000000" w:themeColor="text1"/>
                <w:sz w:val="20"/>
                <w:szCs w:val="20"/>
                <w:lang w:val="en-US"/>
              </w:rPr>
              <w:t>This study</w:t>
            </w:r>
          </w:p>
        </w:tc>
      </w:tr>
    </w:tbl>
    <w:p w14:paraId="7E9F8A56" w14:textId="77777777" w:rsidR="006A39EA" w:rsidRDefault="006A39EA"/>
    <w:sectPr w:rsidR="006A39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EA"/>
    <w:rsid w:val="006A39EA"/>
    <w:rsid w:val="007B67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8DA0"/>
  <w15:chartTrackingRefBased/>
  <w15:docId w15:val="{C893FB1A-1ED7-F741-B451-7BBD7D27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39EA"/>
    <w:rPr>
      <w:rFonts w:ascii="Times New Roman" w:eastAsia="Times New Roman" w:hAnsi="Times New Roman"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A39EA"/>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2263</Words>
  <Characters>14262</Characters>
  <Application>Microsoft Office Word</Application>
  <DocSecurity>0</DocSecurity>
  <Lines>118</Lines>
  <Paragraphs>32</Paragraphs>
  <ScaleCrop>false</ScaleCrop>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Díaz</dc:creator>
  <cp:keywords/>
  <dc:description/>
  <cp:lastModifiedBy>Knut Drescher</cp:lastModifiedBy>
  <cp:revision>2</cp:revision>
  <dcterms:created xsi:type="dcterms:W3CDTF">2021-10-01T07:09:00Z</dcterms:created>
  <dcterms:modified xsi:type="dcterms:W3CDTF">2021-10-04T07:43:00Z</dcterms:modified>
</cp:coreProperties>
</file>