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AC6D71E" w:rsidR="00877644" w:rsidRPr="00125190" w:rsidRDefault="00A640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640ED">
        <w:rPr>
          <w:rFonts w:asciiTheme="minorHAnsi" w:hAnsiTheme="minorHAnsi"/>
        </w:rPr>
        <w:t>No explicit power analysis was used. After a pilot quantification, it was deemed sufficient to analyze 10-20 endosomes per experiment – any higher numbers improved the noise of the averaged data but did not change the results of the quantification. The endosomes were selected from at least 3-10 different cells per experiment to ensure reproducibility between cells. This information can be found in individual figure legends and in methods section “single endosome analysis and quantification” subsection.</w:t>
      </w:r>
    </w:p>
    <w:p w14:paraId="7FF843C9" w14:textId="77777777" w:rsidR="0015519A" w:rsidRPr="00A640ED"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B02F511" w:rsidR="00B330BD" w:rsidRPr="00125190" w:rsidRDefault="00A640E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640ED">
        <w:rPr>
          <w:rFonts w:asciiTheme="minorHAnsi" w:hAnsiTheme="minorHAnsi"/>
        </w:rPr>
        <w:lastRenderedPageBreak/>
        <w:t>Each experiment was repeated three times (three independent biological replicates), and given the reproducibility of results, did not need to be repeated further. The biological replicates were performed on different days using different clones (ccz1 WT/KO) or independent transiently transfected cells. This information can be found in individual figure legends and in methods section “single endosome analysis and quantification” subsection. Criteria for inclusion/exclusion of endosomes from analysis is also included in the “single endosome analysis and quantification” subsection.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6471372" w:rsidR="0015519A" w:rsidRPr="00505C51" w:rsidRDefault="00A640E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640ED">
        <w:rPr>
          <w:rFonts w:asciiTheme="minorHAnsi" w:hAnsiTheme="minorHAnsi"/>
          <w:sz w:val="22"/>
          <w:szCs w:val="22"/>
        </w:rPr>
        <w:t>Where appropriate, m</w:t>
      </w:r>
      <w:proofErr w:type="spellStart"/>
      <w:r w:rsidRPr="00A640ED">
        <w:rPr>
          <w:rFonts w:asciiTheme="minorHAnsi" w:hAnsiTheme="minorHAnsi"/>
          <w:sz w:val="22"/>
          <w:szCs w:val="22"/>
          <w:lang w:val="en-GB"/>
        </w:rPr>
        <w:t>eans</w:t>
      </w:r>
      <w:proofErr w:type="spellEnd"/>
      <w:r w:rsidRPr="00A640ED">
        <w:rPr>
          <w:rFonts w:asciiTheme="minorHAnsi" w:hAnsiTheme="minorHAnsi"/>
          <w:sz w:val="22"/>
          <w:szCs w:val="22"/>
          <w:lang w:val="en-GB"/>
        </w:rPr>
        <w:t xml:space="preserve">, standard deviations, SEM, Pearson’s correlation and linear regression were calculated using GraphPad Prism. </w:t>
      </w:r>
      <w:r w:rsidRPr="00A640ED">
        <w:rPr>
          <w:rFonts w:asciiTheme="minorHAnsi" w:hAnsiTheme="minorHAnsi"/>
          <w:sz w:val="22"/>
          <w:szCs w:val="22"/>
        </w:rPr>
        <w:t>This information, together with sample size, can be found in individual figure legends and in methods section “single endosome analysis and quantification” subsection.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694D1F2" w:rsidR="00BC3CCE" w:rsidRPr="00505C51" w:rsidRDefault="00A640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640ED">
        <w:rPr>
          <w:rFonts w:asciiTheme="minorHAnsi" w:hAnsiTheme="minorHAnsi"/>
          <w:sz w:val="22"/>
          <w:szCs w:val="22"/>
        </w:rPr>
        <w:t>The only group allocation was performed on quantified endosomes in GFP-Snx1+mApple-Rab7 expressing cells, to bin them into three patterns of a single peak, double peak or continuous peak. This was done by eye. The description of categories is included in the results section “Snx1 recruitment is initiated with Rab5 recruitment and can persist during Rab7 stages” subsection and in the corresponding figure legend.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Pr="0018487B" w:rsidRDefault="00A62B52" w:rsidP="00A62B52">
      <w:pPr>
        <w:rPr>
          <w:rFonts w:asciiTheme="minorHAnsi" w:hAnsiTheme="minorHAnsi" w:cstheme="minorHAnsi"/>
          <w:sz w:val="22"/>
          <w:szCs w:val="22"/>
        </w:rPr>
      </w:pPr>
      <w:r w:rsidRPr="0018487B">
        <w:rPr>
          <w:rFonts w:asciiTheme="minorHAnsi" w:hAnsiTheme="minorHAnsi" w:cstheme="minorHAnsi"/>
          <w:sz w:val="22"/>
          <w:szCs w:val="22"/>
        </w:rPr>
        <w:t>Please indicate the figures or tables for which source data files have been provided:</w:t>
      </w:r>
    </w:p>
    <w:p w14:paraId="0CFDC75D"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2, Figure Supplement 1C – Source Data 1. Cell growth numbers and quantification post nigericin treatment.</w:t>
      </w:r>
    </w:p>
    <w:p w14:paraId="7ED60496"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4D - Source Data 1. Quantification of Rab5 and Rab7 recruitment at endosomes.</w:t>
      </w:r>
    </w:p>
    <w:p w14:paraId="737AEB78"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5C - Source Data 1. Quantification of Rab5 and </w:t>
      </w:r>
      <w:proofErr w:type="gramStart"/>
      <w:r w:rsidRPr="0018487B">
        <w:rPr>
          <w:rFonts w:asciiTheme="minorHAnsi" w:hAnsiTheme="minorHAnsi" w:cstheme="minorHAnsi"/>
          <w:sz w:val="22"/>
          <w:szCs w:val="22"/>
        </w:rPr>
        <w:t>PI(</w:t>
      </w:r>
      <w:proofErr w:type="gramEnd"/>
      <w:r w:rsidRPr="0018487B">
        <w:rPr>
          <w:rFonts w:asciiTheme="minorHAnsi" w:hAnsiTheme="minorHAnsi" w:cstheme="minorHAnsi"/>
          <w:sz w:val="22"/>
          <w:szCs w:val="22"/>
        </w:rPr>
        <w:t>3)P recruitment at endosomes.</w:t>
      </w:r>
    </w:p>
    <w:p w14:paraId="4DA859E5"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lastRenderedPageBreak/>
        <w:t>Figure 6C - Source Data 1. Quantification of Rab5 and Snx1 recruitment at endosomes.</w:t>
      </w:r>
    </w:p>
    <w:p w14:paraId="4E8D9768"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6E - Source Data 1. Quantification of Rab5 and Snx1 subdomains at endosomes.</w:t>
      </w:r>
    </w:p>
    <w:p w14:paraId="28F65C3B"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6, Figure supplement 1C - Source Data 1. Quantification of Rab5 and Snx1 subdomains at endosomes. </w:t>
      </w:r>
    </w:p>
    <w:p w14:paraId="0E3D090C"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6, Figure supplement 1E - Source Data 1. Quantification of Rab7 and Snx1 subdomains at endosomes.</w:t>
      </w:r>
    </w:p>
    <w:p w14:paraId="5690BB05"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7 - Source Data 1. Quantification of Rab7 and Snx1 recruitment at endosomes.</w:t>
      </w:r>
    </w:p>
    <w:p w14:paraId="0963885C"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8C - Source Data 1. Quantification of Rab5 and Rab11 recruitment at endosomes.</w:t>
      </w:r>
    </w:p>
    <w:p w14:paraId="4A72E738"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8D - Source Data 1. Quantification of Rab5 and Rab11 subdomains at endosomes.</w:t>
      </w:r>
    </w:p>
    <w:p w14:paraId="351D3938"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8G - Source Data 1. Quantification of Rab7 and Rab11 recruitment at endosomes.</w:t>
      </w:r>
    </w:p>
    <w:p w14:paraId="3D28E612"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8H - Source data 1. Quantification of Rab7 and Rab11 subdomains at endosomes.</w:t>
      </w:r>
    </w:p>
    <w:p w14:paraId="650F1A60"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8, Figure supplement 1A and C – Source data 1. Numerical data for all </w:t>
      </w:r>
      <w:proofErr w:type="spellStart"/>
      <w:r w:rsidRPr="0018487B">
        <w:rPr>
          <w:rFonts w:asciiTheme="minorHAnsi" w:hAnsiTheme="minorHAnsi" w:cstheme="minorHAnsi"/>
          <w:sz w:val="22"/>
          <w:szCs w:val="22"/>
        </w:rPr>
        <w:t>analysed</w:t>
      </w:r>
      <w:proofErr w:type="spellEnd"/>
      <w:r w:rsidRPr="0018487B">
        <w:rPr>
          <w:rFonts w:asciiTheme="minorHAnsi" w:hAnsiTheme="minorHAnsi" w:cstheme="minorHAnsi"/>
          <w:sz w:val="22"/>
          <w:szCs w:val="22"/>
        </w:rPr>
        <w:t xml:space="preserve"> endosomes plotted in Figure 8, Figure supplement 1B. </w:t>
      </w:r>
    </w:p>
    <w:p w14:paraId="0F73CCEA"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9G – Source Data 1. Quantification of acquisition and removal of </w:t>
      </w:r>
      <w:proofErr w:type="spellStart"/>
      <w:r w:rsidRPr="0018487B">
        <w:rPr>
          <w:rFonts w:asciiTheme="minorHAnsi" w:hAnsiTheme="minorHAnsi" w:cstheme="minorHAnsi"/>
          <w:sz w:val="22"/>
          <w:szCs w:val="22"/>
        </w:rPr>
        <w:t>TfR</w:t>
      </w:r>
      <w:proofErr w:type="spellEnd"/>
      <w:r w:rsidRPr="0018487B">
        <w:rPr>
          <w:rFonts w:asciiTheme="minorHAnsi" w:hAnsiTheme="minorHAnsi" w:cstheme="minorHAnsi"/>
          <w:sz w:val="22"/>
          <w:szCs w:val="22"/>
        </w:rPr>
        <w:t xml:space="preserve"> to and from endosomes in relation to Rab5. </w:t>
      </w:r>
    </w:p>
    <w:p w14:paraId="6888E008"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9H – Source Data 1. Quantification of acquisition and removal of CDMPR to and from endosomes in relation to Rab5. </w:t>
      </w:r>
    </w:p>
    <w:p w14:paraId="6607877E"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9G – Source Data 1. Quantification of acquisition and removal of </w:t>
      </w:r>
      <w:proofErr w:type="spellStart"/>
      <w:r w:rsidRPr="0018487B">
        <w:rPr>
          <w:rFonts w:asciiTheme="minorHAnsi" w:hAnsiTheme="minorHAnsi" w:cstheme="minorHAnsi"/>
          <w:sz w:val="22"/>
          <w:szCs w:val="22"/>
        </w:rPr>
        <w:t>GalT</w:t>
      </w:r>
      <w:proofErr w:type="spellEnd"/>
      <w:r w:rsidRPr="0018487B">
        <w:rPr>
          <w:rFonts w:asciiTheme="minorHAnsi" w:hAnsiTheme="minorHAnsi" w:cstheme="minorHAnsi"/>
          <w:sz w:val="22"/>
          <w:szCs w:val="22"/>
        </w:rPr>
        <w:t xml:space="preserve"> to and from endosomes in relation to Rab5. </w:t>
      </w:r>
    </w:p>
    <w:p w14:paraId="49E5DEE4"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10D - Source Data 1.  Quantification of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in cells in calibration buffers of known </w:t>
      </w:r>
      <w:proofErr w:type="spellStart"/>
      <w:r w:rsidRPr="0018487B">
        <w:rPr>
          <w:rFonts w:asciiTheme="minorHAnsi" w:hAnsiTheme="minorHAnsi" w:cstheme="minorHAnsi"/>
          <w:sz w:val="22"/>
          <w:szCs w:val="22"/>
        </w:rPr>
        <w:t>pH.</w:t>
      </w:r>
      <w:proofErr w:type="spellEnd"/>
    </w:p>
    <w:p w14:paraId="12A49CCF"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10E - Source Data 1. Quantification of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in Golgi ribbon, endo-/lysosomal puncta, and enlarged endosomes.</w:t>
      </w:r>
    </w:p>
    <w:p w14:paraId="50206BB8"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10, Figure supplement 1A - Source Data 1. Sigmoidal dose-response curve to define relationship between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and </w:t>
      </w:r>
      <w:proofErr w:type="spellStart"/>
      <w:r w:rsidRPr="0018487B">
        <w:rPr>
          <w:rFonts w:asciiTheme="minorHAnsi" w:hAnsiTheme="minorHAnsi" w:cstheme="minorHAnsi"/>
          <w:sz w:val="22"/>
          <w:szCs w:val="22"/>
        </w:rPr>
        <w:t>pH.</w:t>
      </w:r>
      <w:proofErr w:type="spellEnd"/>
    </w:p>
    <w:p w14:paraId="06D1465E"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11C - Source Data 1. Quantification of Rab5 recruitment and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at endosomes.</w:t>
      </w:r>
    </w:p>
    <w:p w14:paraId="2585336E"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11F - Source data 1. Quantification of Rab7 recruitment and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at endosomes.</w:t>
      </w:r>
    </w:p>
    <w:p w14:paraId="0212CE0B"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12 - Source Data 1. Quantification of Rab5 recruitment and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at endosomes in Ccz1 WT, KO and rescue cells.</w:t>
      </w:r>
    </w:p>
    <w:p w14:paraId="26772FA0"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 12, Figure supplement 1A - Source Data 1. Raw RT-PCR data for Ccz1 expression levels in Ccz1 WT vs KO cells.</w:t>
      </w:r>
    </w:p>
    <w:p w14:paraId="456AC65F"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Figure12, Figure supplement 2A - Source Data 1. Original Western Blot images for NLS-mNeptune-T2A-myc expression.</w:t>
      </w:r>
    </w:p>
    <w:p w14:paraId="2C4912AA" w14:textId="77777777" w:rsidR="0018487B" w:rsidRPr="0018487B" w:rsidRDefault="0018487B" w:rsidP="0018487B">
      <w:pPr>
        <w:rPr>
          <w:rFonts w:asciiTheme="minorHAnsi" w:hAnsiTheme="minorHAnsi" w:cstheme="minorHAnsi"/>
          <w:sz w:val="22"/>
          <w:szCs w:val="22"/>
        </w:rPr>
      </w:pPr>
      <w:r w:rsidRPr="0018487B">
        <w:rPr>
          <w:rFonts w:asciiTheme="minorHAnsi" w:hAnsiTheme="minorHAnsi" w:cstheme="minorHAnsi"/>
          <w:sz w:val="22"/>
          <w:szCs w:val="22"/>
        </w:rPr>
        <w:t xml:space="preserve">Figure 13B - Source Data 1. Quantification of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in endo-/lysosomal puncta in Ccz1 WT, KO and rescue cells.</w:t>
      </w:r>
    </w:p>
    <w:p w14:paraId="08C9EF2F" w14:textId="0A5DC9AB" w:rsidR="00A62B52" w:rsidRPr="001F69C2" w:rsidRDefault="0018487B" w:rsidP="0018487B">
      <w:pPr>
        <w:rPr>
          <w:rFonts w:asciiTheme="minorHAnsi" w:hAnsiTheme="minorHAnsi"/>
          <w:sz w:val="22"/>
          <w:szCs w:val="22"/>
        </w:rPr>
      </w:pPr>
      <w:r w:rsidRPr="0018487B">
        <w:rPr>
          <w:rFonts w:asciiTheme="minorHAnsi" w:hAnsiTheme="minorHAnsi" w:cstheme="minorHAnsi"/>
          <w:sz w:val="22"/>
          <w:szCs w:val="22"/>
        </w:rPr>
        <w:t xml:space="preserve">Figure 13D - Source Data 1. Quantification of </w:t>
      </w:r>
      <w:proofErr w:type="spellStart"/>
      <w:r w:rsidRPr="0018487B">
        <w:rPr>
          <w:rFonts w:asciiTheme="minorHAnsi" w:hAnsiTheme="minorHAnsi" w:cstheme="minorHAnsi"/>
          <w:sz w:val="22"/>
          <w:szCs w:val="22"/>
        </w:rPr>
        <w:t>GalT-pHlemon</w:t>
      </w:r>
      <w:proofErr w:type="spellEnd"/>
      <w:r w:rsidRPr="0018487B">
        <w:rPr>
          <w:rFonts w:asciiTheme="minorHAnsi" w:hAnsiTheme="minorHAnsi" w:cstheme="minorHAnsi"/>
          <w:sz w:val="22"/>
          <w:szCs w:val="22"/>
        </w:rPr>
        <w:t xml:space="preserve"> signal in endo-/lysosomal puncta in Ccz1 WT, KO and rescue cells post nigericin treatment.</w:t>
      </w:r>
    </w:p>
    <w:sectPr w:rsidR="00A62B52" w:rsidRPr="001F69C2"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CF3A" w14:textId="77777777" w:rsidR="0046186E" w:rsidRDefault="0046186E" w:rsidP="004215FE">
      <w:r>
        <w:separator/>
      </w:r>
    </w:p>
  </w:endnote>
  <w:endnote w:type="continuationSeparator" w:id="0">
    <w:p w14:paraId="0CDAED23" w14:textId="77777777" w:rsidR="0046186E" w:rsidRDefault="0046186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B9D4" w14:textId="77777777" w:rsidR="0046186E" w:rsidRDefault="0046186E" w:rsidP="004215FE">
      <w:r>
        <w:separator/>
      </w:r>
    </w:p>
  </w:footnote>
  <w:footnote w:type="continuationSeparator" w:id="0">
    <w:p w14:paraId="7376507E" w14:textId="77777777" w:rsidR="0046186E" w:rsidRDefault="0046186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5075"/>
    <w:rsid w:val="00125190"/>
    <w:rsid w:val="00133662"/>
    <w:rsid w:val="00133907"/>
    <w:rsid w:val="00146DE9"/>
    <w:rsid w:val="0015519A"/>
    <w:rsid w:val="001618D5"/>
    <w:rsid w:val="00175192"/>
    <w:rsid w:val="0018487B"/>
    <w:rsid w:val="001E1D59"/>
    <w:rsid w:val="001F69C2"/>
    <w:rsid w:val="00212F30"/>
    <w:rsid w:val="00217B9E"/>
    <w:rsid w:val="002336C6"/>
    <w:rsid w:val="00241081"/>
    <w:rsid w:val="00266462"/>
    <w:rsid w:val="002A068D"/>
    <w:rsid w:val="002A0ED1"/>
    <w:rsid w:val="002A7487"/>
    <w:rsid w:val="00307F5D"/>
    <w:rsid w:val="003248ED"/>
    <w:rsid w:val="00370080"/>
    <w:rsid w:val="003A4394"/>
    <w:rsid w:val="003F19A6"/>
    <w:rsid w:val="00402ADD"/>
    <w:rsid w:val="00406FF4"/>
    <w:rsid w:val="0041682E"/>
    <w:rsid w:val="004215FE"/>
    <w:rsid w:val="004242DB"/>
    <w:rsid w:val="00426FD0"/>
    <w:rsid w:val="00441726"/>
    <w:rsid w:val="004505C5"/>
    <w:rsid w:val="00451B01"/>
    <w:rsid w:val="00455849"/>
    <w:rsid w:val="0046186E"/>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640ED"/>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316C"/>
    <w:rsid w:val="00E70517"/>
    <w:rsid w:val="00E870D1"/>
    <w:rsid w:val="00ED346E"/>
    <w:rsid w:val="00EF7423"/>
    <w:rsid w:val="00F27DEC"/>
    <w:rsid w:val="00F3344F"/>
    <w:rsid w:val="00F60CF4"/>
    <w:rsid w:val="00F73F7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DA5F6A69-0571-BC48-A3E2-0D7AF42B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cp:lastPrinted>2021-06-22T13:09:00Z</cp:lastPrinted>
  <dcterms:created xsi:type="dcterms:W3CDTF">2021-10-25T07:59:00Z</dcterms:created>
  <dcterms:modified xsi:type="dcterms:W3CDTF">2021-10-25T07:59:00Z</dcterms:modified>
</cp:coreProperties>
</file>