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09B1F" w14:textId="06D90AF0" w:rsidR="00550F13" w:rsidRPr="00FF5ED7" w:rsidRDefault="00550F13" w:rsidP="00550F13">
      <w:pPr>
        <w:rPr>
          <w:rFonts w:asciiTheme="minorHAnsi" w:hAnsiTheme="minorHAnsi"/>
          <w:b/>
          <w:bCs/>
          <w:sz w:val="28"/>
          <w:szCs w:val="28"/>
        </w:rPr>
      </w:pPr>
      <w:r w:rsidRPr="00FF5ED7">
        <w:rPr>
          <w:rFonts w:asciiTheme="minorHAnsi" w:hAnsiTheme="minorHAnsi"/>
          <w:b/>
          <w:bCs/>
          <w:i/>
          <w:sz w:val="28"/>
          <w:szCs w:val="28"/>
        </w:rPr>
        <w:t>eLife</w:t>
      </w:r>
      <w:r w:rsidR="00370080">
        <w:rPr>
          <w:rFonts w:asciiTheme="minorHAnsi" w:hAnsiTheme="minorHAnsi"/>
          <w:b/>
          <w:bCs/>
          <w:i/>
          <w:sz w:val="28"/>
          <w:szCs w:val="28"/>
        </w:rPr>
        <w:t>’s</w:t>
      </w:r>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hyperlink r:id="rId9" w:tgtFrame="_blank" w:history="1">
        <w:r w:rsidR="007B7AF0" w:rsidRPr="00505C51">
          <w:rPr>
            <w:rStyle w:val="Hyperlink"/>
            <w:rFonts w:asciiTheme="minorHAnsi" w:hAnsiTheme="minorHAnsi"/>
            <w:bCs/>
            <w:sz w:val="22"/>
            <w:szCs w:val="22"/>
            <w:lang w:val="en-GB"/>
          </w:rPr>
          <w:t>BioSharing Information Resource</w:t>
        </w:r>
      </w:hyperlink>
      <w:r w:rsidR="007B7AF0" w:rsidRPr="00505C51">
        <w:rPr>
          <w:rFonts w:asciiTheme="minorHAnsi" w:hAnsiTheme="minorHAnsi"/>
          <w:bCs/>
          <w:sz w:val="22"/>
          <w:szCs w:val="22"/>
          <w:lang w:val="en-GB"/>
        </w:rPr>
        <w:t>), or the </w:t>
      </w:r>
      <w:hyperlink r:id="rId10"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1"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enabsatz"/>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enabsatz"/>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enabsatz"/>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44F884C5" w:rsidR="00877644" w:rsidRPr="00125190" w:rsidRDefault="002B259E"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sidRPr="002B259E">
        <w:rPr>
          <w:rFonts w:asciiTheme="minorHAnsi" w:hAnsiTheme="minorHAnsi"/>
        </w:rPr>
        <w:t>In the original design it was planned that three groups (single nerve transfer, double nerve transfer and triple nerve transfer) are compared with each other. The sample size of 15 per group was chosen to detect pairwise differences of 1.34 standard deviations in the primary endpoint with a power of 90% at a two-sided significance level of 5% by the Tukey-HSD-post-hoc procedure. For technical reasons the triple nerve transfer was not feasible, and we only performed the study for two groups, which increases the power because we could apply a simple two-groups t-test and no longer needed to adjust for multiple comparison. In fact, for the planned effect of 1.34 standard deviations we obtain a power of 94%. On the other hand, we were asked by the editor to include the potential effect of the control side in our analysis and therefore performed an ANCOVA, which will not particularly change our estimated power. We did not perform a two-way ANOVA and testing for the interaction effect, because this would not have considered the paired observations we have for each animal between the treatment and the control side.</w:t>
      </w:r>
      <w:r w:rsidR="008456A7">
        <w:rPr>
          <w:rFonts w:asciiTheme="minorHAnsi" w:hAnsiTheme="minorHAnsi"/>
        </w:rPr>
        <w:t xml:space="preserve"> Please refer to section 2.1.</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enabsatz"/>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enabsatz"/>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enabsatz"/>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enabsatz"/>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enabsatz"/>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enabsatz"/>
        <w:numPr>
          <w:ilvl w:val="0"/>
          <w:numId w:val="2"/>
        </w:numPr>
        <w:rPr>
          <w:rFonts w:asciiTheme="minorHAnsi" w:hAnsiTheme="minorHAnsi"/>
          <w:sz w:val="22"/>
          <w:szCs w:val="22"/>
        </w:rPr>
      </w:pPr>
      <w:r w:rsidRPr="00505C51">
        <w:rPr>
          <w:rFonts w:asciiTheme="minorHAnsi" w:hAnsiTheme="minorHAnsi"/>
          <w:sz w:val="22"/>
          <w:szCs w:val="22"/>
        </w:rPr>
        <w:lastRenderedPageBreak/>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these are available from both GEO and ArrayExpress</w:t>
      </w:r>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468AA13C" w:rsidR="00B330BD" w:rsidRPr="00125190" w:rsidRDefault="002B259E"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sidRPr="002B259E">
        <w:rPr>
          <w:rFonts w:asciiTheme="minorHAnsi" w:hAnsiTheme="minorHAnsi"/>
        </w:rPr>
        <w:t xml:space="preserve">The total number of experiments is reported in 2.1. Experimental design and the exact number of examinations is depicted in the </w:t>
      </w:r>
      <w:r w:rsidR="00882977">
        <w:rPr>
          <w:rFonts w:asciiTheme="minorHAnsi" w:hAnsiTheme="minorHAnsi"/>
        </w:rPr>
        <w:t>relevant</w:t>
      </w:r>
      <w:r w:rsidRPr="002B259E">
        <w:rPr>
          <w:rFonts w:asciiTheme="minorHAnsi" w:hAnsiTheme="minorHAnsi"/>
        </w:rPr>
        <w:t xml:space="preserve"> methods paragraphs.</w:t>
      </w:r>
    </w:p>
    <w:p w14:paraId="203989C1" w14:textId="77777777" w:rsidR="00FF5ED7" w:rsidRDefault="00FF5ED7" w:rsidP="00FF5ED7">
      <w:pPr>
        <w:rPr>
          <w:rFonts w:asciiTheme="minorHAnsi" w:hAnsiTheme="minorHAnsi"/>
          <w:b/>
          <w:bCs/>
        </w:rPr>
      </w:pPr>
    </w:p>
    <w:p w14:paraId="3E1A6B61" w14:textId="10E37A7D" w:rsidR="0015519A" w:rsidRDefault="0015519A">
      <w:pPr>
        <w:rPr>
          <w:rFonts w:asciiTheme="minorHAnsi" w:hAnsiTheme="minorHAnsi"/>
          <w:b/>
          <w:bCs/>
        </w:rPr>
      </w:pP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t>Statistical reporting</w:t>
      </w:r>
    </w:p>
    <w:p w14:paraId="2F152ECE" w14:textId="0D85D10D" w:rsidR="00125190" w:rsidRPr="00505C51" w:rsidRDefault="00125190" w:rsidP="00125190">
      <w:pPr>
        <w:pStyle w:val="Listenabsatz"/>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enabsatz"/>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enabsatz"/>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enabsatz"/>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71CA2042" w:rsidR="0015519A" w:rsidRPr="00505C51" w:rsidRDefault="002B259E"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2B259E">
        <w:rPr>
          <w:rFonts w:asciiTheme="minorHAnsi" w:hAnsiTheme="minorHAnsi"/>
          <w:sz w:val="22"/>
          <w:szCs w:val="22"/>
        </w:rPr>
        <w:t>Statistical analysis methods and tests are reported under 2.6 Statistical analysis. Exact p-values and effect sizes are reported</w:t>
      </w:r>
      <w:r w:rsidR="008456A7">
        <w:rPr>
          <w:rFonts w:asciiTheme="minorHAnsi" w:hAnsiTheme="minorHAnsi"/>
          <w:sz w:val="22"/>
          <w:szCs w:val="22"/>
        </w:rPr>
        <w:t xml:space="preserve"> in the description of figures 4 and 5, </w:t>
      </w:r>
      <w:r w:rsidRPr="002B259E">
        <w:rPr>
          <w:rFonts w:asciiTheme="minorHAnsi" w:hAnsiTheme="minorHAnsi"/>
          <w:sz w:val="22"/>
          <w:szCs w:val="22"/>
        </w:rPr>
        <w:t>under 3.4.1 Comparison of reinnervated muscle mass and 3.4.2 Comparison of reinnervated and control muscle mass</w:t>
      </w:r>
      <w:r w:rsidR="008456A7">
        <w:rPr>
          <w:rFonts w:asciiTheme="minorHAnsi" w:hAnsiTheme="minorHAnsi"/>
          <w:sz w:val="22"/>
          <w:szCs w:val="22"/>
        </w:rPr>
        <w:t>.</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enabsatz"/>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enabsatz"/>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4CB5059C" w:rsidR="00BC3CCE" w:rsidRPr="00505C51" w:rsidRDefault="002B259E"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2B259E">
        <w:rPr>
          <w:rFonts w:asciiTheme="minorHAnsi" w:hAnsiTheme="minorHAnsi"/>
          <w:sz w:val="22"/>
          <w:szCs w:val="22"/>
        </w:rPr>
        <w:t>Allocation of subjects is reported under 2.1. Experimental design while blinded data analysis is reported under 2.3. Behavioral evaluation and 2.4. Retrograde labeling.</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enabsatz"/>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enabsatz"/>
        <w:numPr>
          <w:ilvl w:val="0"/>
          <w:numId w:val="5"/>
        </w:numPr>
        <w:rPr>
          <w:rFonts w:asciiTheme="minorHAnsi" w:hAnsiTheme="minorHAnsi"/>
          <w:sz w:val="22"/>
          <w:szCs w:val="22"/>
        </w:rPr>
      </w:pPr>
      <w:r w:rsidRPr="00505C51">
        <w:rPr>
          <w:rFonts w:asciiTheme="minorHAnsi" w:hAnsiTheme="minorHAnsi"/>
          <w:sz w:val="22"/>
          <w:szCs w:val="22"/>
        </w:rPr>
        <w:lastRenderedPageBreak/>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enabsatz"/>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enabsatz"/>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MatLab)</w:t>
      </w:r>
    </w:p>
    <w:p w14:paraId="04223723" w14:textId="497E41A1" w:rsidR="006E6B2A" w:rsidRDefault="00BA5BB7" w:rsidP="00877644">
      <w:pPr>
        <w:pStyle w:val="Listenabsatz"/>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66E61BF5" w14:textId="77777777" w:rsidR="00210D91" w:rsidRDefault="00210D91" w:rsidP="00A62B52">
      <w:pPr>
        <w:rPr>
          <w:rFonts w:asciiTheme="minorHAnsi" w:hAnsiTheme="minorHAnsi"/>
          <w:sz w:val="22"/>
          <w:szCs w:val="22"/>
        </w:rPr>
      </w:pPr>
    </w:p>
    <w:p w14:paraId="5E9295DB" w14:textId="1432E3DF" w:rsidR="00210D91" w:rsidRPr="00406FF4" w:rsidRDefault="008456A7" w:rsidP="002B4274">
      <w:pPr>
        <w:rPr>
          <w:rFonts w:asciiTheme="minorHAnsi" w:hAnsiTheme="minorHAnsi"/>
          <w:sz w:val="22"/>
          <w:szCs w:val="22"/>
        </w:rPr>
      </w:pPr>
      <w:r>
        <w:rPr>
          <w:rFonts w:asciiTheme="minorHAnsi" w:hAnsiTheme="minorHAnsi"/>
          <w:sz w:val="22"/>
          <w:szCs w:val="22"/>
        </w:rPr>
        <w:t>Source data files for figures 4C and 5 including the corresponding SPSS Syntax used for analysis have been uploaded.</w:t>
      </w:r>
    </w:p>
    <w:sectPr w:rsidR="00210D91" w:rsidRPr="00406FF4" w:rsidSect="00A62B52">
      <w:headerReference w:type="default" r:id="rId12"/>
      <w:footerReference w:type="even" r:id="rId13"/>
      <w:footerReference w:type="default" r:id="rId14"/>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9F0FF" w14:textId="77777777" w:rsidR="005C132A" w:rsidRDefault="005C132A" w:rsidP="004215FE">
      <w:r>
        <w:separator/>
      </w:r>
    </w:p>
  </w:endnote>
  <w:endnote w:type="continuationSeparator" w:id="0">
    <w:p w14:paraId="7CBA52BF" w14:textId="77777777" w:rsidR="005C132A" w:rsidRDefault="005C132A"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Lucida Grande">
    <w:altName w:val="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D9A8E" w14:textId="77777777" w:rsidR="00BC3CCE" w:rsidRDefault="00BC3CCE" w:rsidP="0009520A">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44EEFD2C" w14:textId="77777777" w:rsidR="00BC3CCE" w:rsidRDefault="00BC3CCE" w:rsidP="0009520A">
    <w:pPr>
      <w:pStyle w:val="Fuzeile"/>
      <w:framePr w:wrap="around" w:vAnchor="text" w:hAnchor="margin" w:xAlign="center" w:y="1"/>
      <w:ind w:right="360"/>
      <w:rPr>
        <w:rStyle w:val="Seitenzahl"/>
      </w:rPr>
    </w:pPr>
    <w:r>
      <w:rPr>
        <w:rStyle w:val="Seitenzahl"/>
      </w:rPr>
      <w:fldChar w:fldCharType="begin"/>
    </w:r>
    <w:r>
      <w:rPr>
        <w:rStyle w:val="Seitenzahl"/>
      </w:rPr>
      <w:instrText xml:space="preserve">PAGE  </w:instrText>
    </w:r>
    <w:r>
      <w:rPr>
        <w:rStyle w:val="Seitenzahl"/>
      </w:rPr>
      <w:fldChar w:fldCharType="end"/>
    </w:r>
  </w:p>
  <w:p w14:paraId="1F7354AE" w14:textId="77777777" w:rsidR="00BC3CCE" w:rsidRDefault="00BC3CC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3B882" w14:textId="77777777" w:rsidR="00BC3CCE" w:rsidRPr="0009520A" w:rsidRDefault="00BC3CCE" w:rsidP="0009520A">
    <w:pPr>
      <w:pStyle w:val="Fuzeile"/>
      <w:framePr w:wrap="around" w:vAnchor="text" w:hAnchor="page" w:x="9943" w:y="195"/>
      <w:rPr>
        <w:rStyle w:val="Seitenzahl"/>
      </w:rPr>
    </w:pPr>
    <w:r w:rsidRPr="0009520A">
      <w:rPr>
        <w:rStyle w:val="Seitenzahl"/>
        <w:rFonts w:asciiTheme="minorHAnsi" w:hAnsiTheme="minorHAnsi"/>
        <w:sz w:val="20"/>
        <w:szCs w:val="20"/>
      </w:rPr>
      <w:fldChar w:fldCharType="begin"/>
    </w:r>
    <w:r w:rsidRPr="0009520A">
      <w:rPr>
        <w:rStyle w:val="Seitenzahl"/>
        <w:rFonts w:asciiTheme="minorHAnsi" w:hAnsiTheme="minorHAnsi"/>
        <w:sz w:val="20"/>
        <w:szCs w:val="20"/>
      </w:rPr>
      <w:instrText xml:space="preserve">PAGE  </w:instrText>
    </w:r>
    <w:r w:rsidRPr="0009520A">
      <w:rPr>
        <w:rStyle w:val="Seitenzahl"/>
        <w:rFonts w:asciiTheme="minorHAnsi" w:hAnsiTheme="minorHAnsi"/>
        <w:sz w:val="20"/>
        <w:szCs w:val="20"/>
      </w:rPr>
      <w:fldChar w:fldCharType="separate"/>
    </w:r>
    <w:r w:rsidR="00634AC7">
      <w:rPr>
        <w:rStyle w:val="Seitenzahl"/>
        <w:rFonts w:asciiTheme="minorHAnsi" w:hAnsiTheme="minorHAnsi"/>
        <w:noProof/>
        <w:sz w:val="20"/>
        <w:szCs w:val="20"/>
      </w:rPr>
      <w:t>2</w:t>
    </w:r>
    <w:r w:rsidRPr="0009520A">
      <w:rPr>
        <w:rStyle w:val="Seitenzahl"/>
        <w:rFonts w:asciiTheme="minorHAnsi" w:hAnsiTheme="minorHAnsi"/>
        <w:sz w:val="20"/>
        <w:szCs w:val="20"/>
      </w:rPr>
      <w:fldChar w:fldCharType="end"/>
    </w:r>
  </w:p>
  <w:p w14:paraId="43DA2918" w14:textId="77777777" w:rsidR="00BC3CCE" w:rsidRPr="00062DBF" w:rsidRDefault="00BC3CCE" w:rsidP="0009520A">
    <w:pPr>
      <w:pStyle w:val="Fuzeile"/>
      <w:tabs>
        <w:tab w:val="clear" w:pos="8640"/>
        <w:tab w:val="right" w:pos="9214"/>
      </w:tabs>
      <w:ind w:left="-709" w:right="360"/>
      <w:rPr>
        <w:rFonts w:ascii="Arial" w:hAnsi="Arial"/>
        <w:sz w:val="16"/>
        <w:szCs w:val="16"/>
      </w:rPr>
    </w:pPr>
    <w:r w:rsidRPr="00062DBF">
      <w:rPr>
        <w:rFonts w:ascii="Arial" w:hAnsi="Arial"/>
        <w:sz w:val="16"/>
        <w:szCs w:val="16"/>
      </w:rPr>
      <w:t>eLife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ABCC2" w14:textId="77777777" w:rsidR="005C132A" w:rsidRDefault="005C132A" w:rsidP="004215FE">
      <w:r>
        <w:separator/>
      </w:r>
    </w:p>
  </w:footnote>
  <w:footnote w:type="continuationSeparator" w:id="0">
    <w:p w14:paraId="5E809084" w14:textId="77777777" w:rsidR="005C132A" w:rsidRDefault="005C132A"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767A8" w14:textId="77777777" w:rsidR="00BC3CCE" w:rsidRDefault="00BC3CCE" w:rsidP="004215FE">
    <w:pPr>
      <w:pStyle w:val="Kopfzeile"/>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hyphenationZone w:val="425"/>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FE"/>
    <w:rsid w:val="00004579"/>
    <w:rsid w:val="00022DC0"/>
    <w:rsid w:val="00062DBF"/>
    <w:rsid w:val="00064518"/>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210D91"/>
    <w:rsid w:val="00212F30"/>
    <w:rsid w:val="00217B9E"/>
    <w:rsid w:val="002336C6"/>
    <w:rsid w:val="00241081"/>
    <w:rsid w:val="00266462"/>
    <w:rsid w:val="002A068D"/>
    <w:rsid w:val="002A0ED1"/>
    <w:rsid w:val="002A7487"/>
    <w:rsid w:val="002B259E"/>
    <w:rsid w:val="002B4274"/>
    <w:rsid w:val="002F4DC5"/>
    <w:rsid w:val="00307F5D"/>
    <w:rsid w:val="003248ED"/>
    <w:rsid w:val="00370080"/>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5C132A"/>
    <w:rsid w:val="00605A12"/>
    <w:rsid w:val="00634AC7"/>
    <w:rsid w:val="00657587"/>
    <w:rsid w:val="00661DCC"/>
    <w:rsid w:val="00672545"/>
    <w:rsid w:val="00685CCF"/>
    <w:rsid w:val="006A632B"/>
    <w:rsid w:val="006C06F5"/>
    <w:rsid w:val="006C7BC3"/>
    <w:rsid w:val="006D5898"/>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42C"/>
    <w:rsid w:val="00800860"/>
    <w:rsid w:val="008071DA"/>
    <w:rsid w:val="0082410E"/>
    <w:rsid w:val="008456A7"/>
    <w:rsid w:val="00845737"/>
    <w:rsid w:val="008531D3"/>
    <w:rsid w:val="00860995"/>
    <w:rsid w:val="00865914"/>
    <w:rsid w:val="008669DA"/>
    <w:rsid w:val="0087056D"/>
    <w:rsid w:val="00876F8F"/>
    <w:rsid w:val="00877644"/>
    <w:rsid w:val="00877729"/>
    <w:rsid w:val="00882977"/>
    <w:rsid w:val="008A22A7"/>
    <w:rsid w:val="008C73C0"/>
    <w:rsid w:val="008D7885"/>
    <w:rsid w:val="00912B0B"/>
    <w:rsid w:val="009205E9"/>
    <w:rsid w:val="0092438C"/>
    <w:rsid w:val="00941D04"/>
    <w:rsid w:val="00963CEF"/>
    <w:rsid w:val="00993065"/>
    <w:rsid w:val="009A0661"/>
    <w:rsid w:val="009D0D28"/>
    <w:rsid w:val="009E6ACE"/>
    <w:rsid w:val="009E7B13"/>
    <w:rsid w:val="00A03EC9"/>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C1184B"/>
    <w:rsid w:val="00C21D14"/>
    <w:rsid w:val="00C24CF7"/>
    <w:rsid w:val="00C42ECB"/>
    <w:rsid w:val="00C52A77"/>
    <w:rsid w:val="00C820B0"/>
    <w:rsid w:val="00CC6EF3"/>
    <w:rsid w:val="00CD6AEC"/>
    <w:rsid w:val="00CE6849"/>
    <w:rsid w:val="00CF4BBE"/>
    <w:rsid w:val="00CF6CB5"/>
    <w:rsid w:val="00D10224"/>
    <w:rsid w:val="00D216D6"/>
    <w:rsid w:val="00D44612"/>
    <w:rsid w:val="00D50299"/>
    <w:rsid w:val="00D74320"/>
    <w:rsid w:val="00D779BF"/>
    <w:rsid w:val="00D83D45"/>
    <w:rsid w:val="00D93937"/>
    <w:rsid w:val="00DE207A"/>
    <w:rsid w:val="00DE2719"/>
    <w:rsid w:val="00DF1913"/>
    <w:rsid w:val="00E007B4"/>
    <w:rsid w:val="00E234CA"/>
    <w:rsid w:val="00E41364"/>
    <w:rsid w:val="00E61AB4"/>
    <w:rsid w:val="00E70517"/>
    <w:rsid w:val="00E870D1"/>
    <w:rsid w:val="00EA2194"/>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EF4E0D4"/>
  <w15:docId w15:val="{7517F86B-EDA0-334E-90C4-AE8D25D84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D0F2C"/>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rsid w:val="004215FE"/>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locked/>
    <w:rsid w:val="004215FE"/>
    <w:rPr>
      <w:rFonts w:ascii="Lucida Grande" w:hAnsi="Lucida Grande" w:cs="Lucida Grande"/>
      <w:sz w:val="18"/>
      <w:szCs w:val="18"/>
    </w:rPr>
  </w:style>
  <w:style w:type="paragraph" w:styleId="Kopfzeile">
    <w:name w:val="header"/>
    <w:basedOn w:val="Standard"/>
    <w:link w:val="KopfzeileZchn"/>
    <w:uiPriority w:val="99"/>
    <w:rsid w:val="004215FE"/>
    <w:pPr>
      <w:tabs>
        <w:tab w:val="center" w:pos="4320"/>
        <w:tab w:val="right" w:pos="8640"/>
      </w:tabs>
    </w:pPr>
  </w:style>
  <w:style w:type="character" w:customStyle="1" w:styleId="KopfzeileZchn">
    <w:name w:val="Kopfzeile Zchn"/>
    <w:basedOn w:val="Absatz-Standardschriftart"/>
    <w:link w:val="Kopfzeile"/>
    <w:uiPriority w:val="99"/>
    <w:locked/>
    <w:rsid w:val="004215FE"/>
    <w:rPr>
      <w:rFonts w:cs="Times New Roman"/>
    </w:rPr>
  </w:style>
  <w:style w:type="paragraph" w:styleId="Fuzeile">
    <w:name w:val="footer"/>
    <w:basedOn w:val="Standard"/>
    <w:link w:val="FuzeileZchn"/>
    <w:uiPriority w:val="99"/>
    <w:rsid w:val="004215FE"/>
    <w:pPr>
      <w:tabs>
        <w:tab w:val="center" w:pos="4320"/>
        <w:tab w:val="right" w:pos="8640"/>
      </w:tabs>
    </w:pPr>
  </w:style>
  <w:style w:type="character" w:customStyle="1" w:styleId="FuzeileZchn">
    <w:name w:val="Fußzeile Zchn"/>
    <w:basedOn w:val="Absatz-Standardschriftart"/>
    <w:link w:val="Fuzeile"/>
    <w:uiPriority w:val="99"/>
    <w:locked/>
    <w:rsid w:val="004215FE"/>
    <w:rPr>
      <w:rFonts w:cs="Times New Roman"/>
    </w:rPr>
  </w:style>
  <w:style w:type="character" w:styleId="Seitenzahl">
    <w:name w:val="page number"/>
    <w:basedOn w:val="Absatz-Standardschriftart"/>
    <w:uiPriority w:val="99"/>
    <w:semiHidden/>
    <w:unhideWhenUsed/>
    <w:rsid w:val="0009520A"/>
  </w:style>
  <w:style w:type="character" w:styleId="Kommentarzeichen">
    <w:name w:val="annotation reference"/>
    <w:basedOn w:val="Absatz-Standardschriftart"/>
    <w:uiPriority w:val="99"/>
    <w:semiHidden/>
    <w:unhideWhenUsed/>
    <w:rsid w:val="00FE362B"/>
    <w:rPr>
      <w:sz w:val="18"/>
      <w:szCs w:val="18"/>
    </w:rPr>
  </w:style>
  <w:style w:type="paragraph" w:styleId="Kommentartext">
    <w:name w:val="annotation text"/>
    <w:basedOn w:val="Standard"/>
    <w:link w:val="KommentartextZchn"/>
    <w:uiPriority w:val="99"/>
    <w:semiHidden/>
    <w:unhideWhenUsed/>
    <w:rsid w:val="00FE362B"/>
  </w:style>
  <w:style w:type="character" w:customStyle="1" w:styleId="KommentartextZchn">
    <w:name w:val="Kommentartext Zchn"/>
    <w:basedOn w:val="Absatz-Standardschriftart"/>
    <w:link w:val="Kommentartext"/>
    <w:uiPriority w:val="99"/>
    <w:semiHidden/>
    <w:rsid w:val="00FE362B"/>
    <w:rPr>
      <w:sz w:val="24"/>
      <w:szCs w:val="24"/>
    </w:rPr>
  </w:style>
  <w:style w:type="paragraph" w:styleId="Kommentarthema">
    <w:name w:val="annotation subject"/>
    <w:basedOn w:val="Kommentartext"/>
    <w:next w:val="Kommentartext"/>
    <w:link w:val="KommentarthemaZchn"/>
    <w:uiPriority w:val="99"/>
    <w:semiHidden/>
    <w:unhideWhenUsed/>
    <w:rsid w:val="00FE362B"/>
    <w:rPr>
      <w:b/>
      <w:bCs/>
      <w:sz w:val="20"/>
      <w:szCs w:val="20"/>
    </w:rPr>
  </w:style>
  <w:style w:type="character" w:customStyle="1" w:styleId="KommentarthemaZchn">
    <w:name w:val="Kommentarthema Zchn"/>
    <w:basedOn w:val="KommentartextZchn"/>
    <w:link w:val="Kommentarthema"/>
    <w:uiPriority w:val="99"/>
    <w:semiHidden/>
    <w:rsid w:val="00FE362B"/>
    <w:rPr>
      <w:b/>
      <w:bCs/>
      <w:sz w:val="20"/>
      <w:szCs w:val="20"/>
    </w:rPr>
  </w:style>
  <w:style w:type="character" w:styleId="Hyperlink">
    <w:name w:val="Hyperlink"/>
    <w:basedOn w:val="Absatz-Standardschriftart"/>
    <w:uiPriority w:val="99"/>
    <w:unhideWhenUsed/>
    <w:rsid w:val="007B6D8A"/>
    <w:rPr>
      <w:color w:val="0000FF" w:themeColor="hyperlink"/>
      <w:u w:val="single"/>
    </w:rPr>
  </w:style>
  <w:style w:type="character" w:styleId="BesuchterLink">
    <w:name w:val="FollowedHyperlink"/>
    <w:basedOn w:val="Absatz-Standardschriftart"/>
    <w:uiPriority w:val="99"/>
    <w:semiHidden/>
    <w:unhideWhenUsed/>
    <w:rsid w:val="004D5E59"/>
    <w:rPr>
      <w:color w:val="800080" w:themeColor="followedHyperlink"/>
      <w:u w:val="single"/>
    </w:rPr>
  </w:style>
  <w:style w:type="paragraph" w:styleId="Listenabsatz">
    <w:name w:val="List Paragraph"/>
    <w:basedOn w:val="Standard"/>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itorial@elifesciences.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losbiology.org/article/info:doi/10.1371/journal.pbio.1000412" TargetMode="External"/><Relationship Id="rId4" Type="http://schemas.openxmlformats.org/officeDocument/2006/relationships/settings" Target="settings.xml"/><Relationship Id="rId9" Type="http://schemas.openxmlformats.org/officeDocument/2006/relationships/hyperlink" Target="https://biosharing.org/"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E3304-AB3C-5146-9EB5-290C1DD12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867</Words>
  <Characters>5469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6324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Matthias Luft</cp:lastModifiedBy>
  <cp:revision>2</cp:revision>
  <dcterms:created xsi:type="dcterms:W3CDTF">2021-09-21T10:05:00Z</dcterms:created>
  <dcterms:modified xsi:type="dcterms:W3CDTF">2021-09-21T10:05:00Z</dcterms:modified>
</cp:coreProperties>
</file>